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B91A50">
      <w:pPr>
        <w:jc w:val="center"/>
        <w:rPr>
          <w:rFonts w:ascii="黑体" w:eastAsia="黑体" w:hAnsi="黑体" w:cs="黑体"/>
          <w:sz w:val="52"/>
          <w:szCs w:val="52"/>
        </w:rPr>
      </w:pPr>
      <w:r>
        <w:rPr>
          <w:rFonts w:ascii="黑体" w:eastAsia="黑体" w:hAnsi="黑体" w:cs="黑体" w:hint="eastAsia"/>
          <w:sz w:val="52"/>
          <w:szCs w:val="52"/>
        </w:rPr>
        <w:t>2018</w:t>
      </w:r>
      <w:r>
        <w:rPr>
          <w:rFonts w:ascii="黑体" w:eastAsia="黑体" w:hAnsi="黑体" w:cs="黑体" w:hint="eastAsia"/>
          <w:sz w:val="52"/>
          <w:szCs w:val="52"/>
        </w:rPr>
        <w:t>年度</w:t>
      </w:r>
    </w:p>
    <w:p w:rsidR="00A81FCD" w:rsidRDefault="00B91A50">
      <w:pPr>
        <w:jc w:val="center"/>
        <w:rPr>
          <w:rFonts w:ascii="黑体" w:eastAsia="黑体" w:hAnsi="黑体" w:cs="黑体"/>
          <w:sz w:val="52"/>
          <w:szCs w:val="52"/>
        </w:rPr>
      </w:pPr>
      <w:r>
        <w:rPr>
          <w:rFonts w:ascii="黑体" w:eastAsia="黑体" w:hAnsi="黑体" w:cs="黑体" w:hint="eastAsia"/>
          <w:sz w:val="52"/>
          <w:szCs w:val="52"/>
        </w:rPr>
        <w:t>封丘县人民检察院部门决算</w:t>
      </w:r>
    </w:p>
    <w:p w:rsidR="00A81FCD" w:rsidRDefault="00A81FCD">
      <w:pPr>
        <w:jc w:val="center"/>
        <w:rPr>
          <w:rFonts w:ascii="黑体" w:eastAsia="黑体" w:hAnsi="黑体" w:cs="黑体"/>
          <w:sz w:val="52"/>
          <w:szCs w:val="52"/>
        </w:rPr>
      </w:pPr>
    </w:p>
    <w:p w:rsidR="00A81FCD" w:rsidRDefault="00A81FCD">
      <w:pPr>
        <w:jc w:val="center"/>
        <w:rPr>
          <w:rFonts w:ascii="黑体" w:eastAsia="黑体" w:hAnsi="黑体" w:cs="黑体"/>
          <w:sz w:val="52"/>
          <w:szCs w:val="52"/>
        </w:rPr>
      </w:pPr>
    </w:p>
    <w:p w:rsidR="00A81FCD" w:rsidRDefault="00A81FCD">
      <w:pPr>
        <w:jc w:val="center"/>
        <w:rPr>
          <w:rFonts w:ascii="黑体" w:eastAsia="黑体" w:hAnsi="黑体" w:cs="黑体"/>
          <w:sz w:val="52"/>
          <w:szCs w:val="52"/>
        </w:rPr>
      </w:pPr>
    </w:p>
    <w:p w:rsidR="00A81FCD" w:rsidRDefault="00A81FCD">
      <w:pPr>
        <w:jc w:val="center"/>
        <w:rPr>
          <w:rFonts w:ascii="黑体" w:eastAsia="黑体" w:hAnsi="黑体" w:cs="黑体"/>
          <w:sz w:val="52"/>
          <w:szCs w:val="52"/>
        </w:rPr>
      </w:pPr>
    </w:p>
    <w:p w:rsidR="00A81FCD" w:rsidRDefault="00A81FCD">
      <w:pPr>
        <w:jc w:val="center"/>
        <w:rPr>
          <w:rFonts w:ascii="黑体" w:eastAsia="黑体" w:hAnsi="黑体" w:cs="黑体"/>
          <w:sz w:val="52"/>
          <w:szCs w:val="52"/>
        </w:rPr>
      </w:pPr>
    </w:p>
    <w:p w:rsidR="00A81FCD" w:rsidRDefault="00A81FCD">
      <w:pPr>
        <w:jc w:val="center"/>
        <w:rPr>
          <w:rFonts w:ascii="黑体" w:eastAsia="黑体" w:hAnsi="黑体" w:cs="黑体"/>
          <w:sz w:val="52"/>
          <w:szCs w:val="52"/>
        </w:rPr>
      </w:pPr>
    </w:p>
    <w:p w:rsidR="00A81FCD" w:rsidRDefault="00B91A50">
      <w:pPr>
        <w:jc w:val="center"/>
        <w:rPr>
          <w:rFonts w:ascii="黑体" w:eastAsia="黑体" w:hAnsi="黑体" w:cs="黑体"/>
          <w:sz w:val="32"/>
          <w:szCs w:val="32"/>
        </w:rPr>
        <w:sectPr w:rsidR="00A81FCD">
          <w:pgSz w:w="11906" w:h="16838"/>
          <w:pgMar w:top="1440" w:right="1531" w:bottom="1440" w:left="1587" w:header="850" w:footer="992" w:gutter="0"/>
          <w:pgNumType w:fmt="numberInDash"/>
          <w:cols w:space="720"/>
          <w:docGrid w:type="lines" w:linePitch="317"/>
        </w:sectPr>
      </w:pPr>
      <w:r>
        <w:rPr>
          <w:rFonts w:ascii="黑体" w:eastAsia="黑体" w:hAnsi="黑体" w:cs="黑体" w:hint="eastAsia"/>
          <w:sz w:val="32"/>
          <w:szCs w:val="32"/>
        </w:rPr>
        <w:t>二〇一九年十</w:t>
      </w:r>
      <w:r>
        <w:rPr>
          <w:rFonts w:ascii="黑体" w:eastAsia="黑体" w:hAnsi="黑体" w:cs="黑体" w:hint="eastAsia"/>
          <w:sz w:val="32"/>
          <w:szCs w:val="32"/>
        </w:rPr>
        <w:t>一</w:t>
      </w:r>
      <w:r>
        <w:rPr>
          <w:rFonts w:ascii="黑体" w:eastAsia="黑体" w:hAnsi="黑体" w:cs="黑体" w:hint="eastAsia"/>
          <w:sz w:val="32"/>
          <w:szCs w:val="32"/>
        </w:rPr>
        <w:t>月</w:t>
      </w:r>
    </w:p>
    <w:p w:rsidR="00A81FCD" w:rsidRDefault="00B91A50">
      <w:pPr>
        <w:jc w:val="center"/>
        <w:rPr>
          <w:rFonts w:ascii="黑体" w:eastAsia="黑体" w:hAnsi="黑体" w:cs="黑体"/>
          <w:sz w:val="36"/>
          <w:szCs w:val="36"/>
        </w:rPr>
      </w:pPr>
      <w:r>
        <w:rPr>
          <w:rFonts w:ascii="黑体" w:eastAsia="黑体" w:hAnsi="黑体" w:cs="黑体" w:hint="eastAsia"/>
          <w:sz w:val="36"/>
          <w:szCs w:val="36"/>
        </w:rPr>
        <w:lastRenderedPageBreak/>
        <w:t>目　　录</w:t>
      </w:r>
    </w:p>
    <w:p w:rsidR="00A81FCD" w:rsidRDefault="00B91A50">
      <w:pPr>
        <w:jc w:val="left"/>
        <w:rPr>
          <w:rFonts w:ascii="黑体" w:eastAsia="黑体" w:hAnsi="黑体" w:cs="黑体"/>
          <w:sz w:val="32"/>
          <w:szCs w:val="32"/>
        </w:rPr>
      </w:pPr>
      <w:r>
        <w:rPr>
          <w:rFonts w:ascii="黑体" w:eastAsia="黑体" w:hAnsi="黑体" w:cs="黑体" w:hint="eastAsia"/>
          <w:sz w:val="32"/>
          <w:szCs w:val="32"/>
        </w:rPr>
        <w:t>第一部分　　封丘县人民检察院概况</w:t>
      </w:r>
    </w:p>
    <w:p w:rsidR="00A81FCD" w:rsidRDefault="00B91A50">
      <w:pPr>
        <w:numPr>
          <w:ilvl w:val="0"/>
          <w:numId w:val="1"/>
        </w:numPr>
        <w:ind w:firstLineChars="200" w:firstLine="640"/>
        <w:jc w:val="left"/>
        <w:rPr>
          <w:rFonts w:ascii="宋体" w:hAnsi="宋体" w:cs="宋体"/>
          <w:sz w:val="32"/>
          <w:szCs w:val="32"/>
        </w:rPr>
      </w:pPr>
      <w:r>
        <w:rPr>
          <w:rFonts w:ascii="宋体" w:hAnsi="宋体" w:cs="宋体" w:hint="eastAsia"/>
          <w:sz w:val="32"/>
          <w:szCs w:val="32"/>
        </w:rPr>
        <w:t>部门职责</w:t>
      </w:r>
    </w:p>
    <w:p w:rsidR="00A81FCD" w:rsidRDefault="00B91A50">
      <w:pPr>
        <w:numPr>
          <w:ilvl w:val="0"/>
          <w:numId w:val="1"/>
        </w:numPr>
        <w:ind w:firstLineChars="200" w:firstLine="640"/>
        <w:jc w:val="left"/>
        <w:rPr>
          <w:rFonts w:ascii="宋体" w:hAnsi="宋体" w:cs="宋体"/>
          <w:sz w:val="32"/>
          <w:szCs w:val="32"/>
        </w:rPr>
      </w:pPr>
      <w:r>
        <w:rPr>
          <w:rFonts w:ascii="宋体" w:hAnsi="宋体" w:cs="宋体" w:hint="eastAsia"/>
          <w:sz w:val="32"/>
          <w:szCs w:val="32"/>
        </w:rPr>
        <w:t>机构设置</w:t>
      </w:r>
    </w:p>
    <w:p w:rsidR="00A81FCD" w:rsidRDefault="00B91A50">
      <w:pPr>
        <w:jc w:val="left"/>
        <w:rPr>
          <w:rFonts w:ascii="黑体" w:eastAsia="黑体" w:hAnsi="黑体" w:cs="黑体"/>
          <w:sz w:val="32"/>
          <w:szCs w:val="32"/>
        </w:rPr>
      </w:pPr>
      <w:r>
        <w:rPr>
          <w:rFonts w:ascii="黑体" w:eastAsia="黑体" w:hAnsi="黑体" w:cs="黑体" w:hint="eastAsia"/>
          <w:sz w:val="32"/>
          <w:szCs w:val="32"/>
        </w:rPr>
        <w:t xml:space="preserve">第二部分　　</w:t>
      </w:r>
      <w:r>
        <w:rPr>
          <w:rFonts w:ascii="黑体" w:eastAsia="黑体" w:hAnsi="黑体" w:cs="黑体" w:hint="eastAsia"/>
          <w:sz w:val="32"/>
          <w:szCs w:val="32"/>
        </w:rPr>
        <w:t>2018</w:t>
      </w:r>
      <w:r>
        <w:rPr>
          <w:rFonts w:ascii="黑体" w:eastAsia="黑体" w:hAnsi="黑体" w:cs="黑体" w:hint="eastAsia"/>
          <w:sz w:val="32"/>
          <w:szCs w:val="32"/>
        </w:rPr>
        <w:t>年度部门决算表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一、收入支出决算总表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二、收入决算表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三、支出决算表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四、财政拨款收入支出决算总表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五、一般公共预算财政拨款支出决算表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六、一般公共预算财政拨款基本支出决算表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七、一般公共预算财政拨款“三公”经费支出决算表</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八、政府性基金预算财政拨款收入支出决算表</w:t>
      </w:r>
    </w:p>
    <w:p w:rsidR="00A81FCD" w:rsidRDefault="00B91A50">
      <w:pPr>
        <w:jc w:val="left"/>
        <w:rPr>
          <w:rFonts w:ascii="黑体" w:eastAsia="黑体" w:hAnsi="黑体" w:cs="黑体"/>
          <w:sz w:val="32"/>
          <w:szCs w:val="32"/>
        </w:rPr>
      </w:pPr>
      <w:r>
        <w:rPr>
          <w:rFonts w:ascii="黑体" w:eastAsia="黑体" w:hAnsi="黑体" w:cs="黑体" w:hint="eastAsia"/>
          <w:sz w:val="32"/>
          <w:szCs w:val="32"/>
        </w:rPr>
        <w:t xml:space="preserve">第三部分　　</w:t>
      </w:r>
      <w:r>
        <w:rPr>
          <w:rFonts w:ascii="黑体" w:eastAsia="黑体" w:hAnsi="黑体" w:cs="黑体" w:hint="eastAsia"/>
          <w:sz w:val="32"/>
          <w:szCs w:val="32"/>
        </w:rPr>
        <w:t>2018</w:t>
      </w:r>
      <w:r>
        <w:rPr>
          <w:rFonts w:ascii="黑体" w:eastAsia="黑体" w:hAnsi="黑体" w:cs="黑体" w:hint="eastAsia"/>
          <w:sz w:val="32"/>
          <w:szCs w:val="32"/>
        </w:rPr>
        <w:t>年度部门决算情况说明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一、收入支出决算总体情况说明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二、收入决算情况说明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三、支出决算情况说明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四、财政拨款收入支出决算总体情况说明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五、一般公共预算财政拨款支出决算情况说明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六、一般公共预算财政拨款基本支出决算情况说明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七、一般公共预算财政拨款“三公”经费支出决算情况说明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lastRenderedPageBreak/>
        <w:t>八、预算绩效情况说明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九、政府性基金预算财政拨款支出决算情况说明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十、机关运行经费支出情况说明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十一、政府采购支出情况说明</w:t>
      </w:r>
    </w:p>
    <w:p w:rsidR="00A81FCD" w:rsidRDefault="00B91A50">
      <w:pPr>
        <w:ind w:firstLineChars="200" w:firstLine="640"/>
        <w:jc w:val="left"/>
        <w:rPr>
          <w:rFonts w:ascii="宋体" w:hAnsi="宋体" w:cs="宋体"/>
          <w:sz w:val="32"/>
          <w:szCs w:val="32"/>
        </w:rPr>
      </w:pPr>
      <w:r>
        <w:rPr>
          <w:rFonts w:ascii="宋体" w:hAnsi="宋体" w:cs="宋体" w:hint="eastAsia"/>
          <w:sz w:val="32"/>
          <w:szCs w:val="32"/>
        </w:rPr>
        <w:t>十二、国有资产占用情况说明</w:t>
      </w:r>
    </w:p>
    <w:p w:rsidR="00A81FCD" w:rsidRDefault="00B91A50">
      <w:pPr>
        <w:jc w:val="left"/>
        <w:rPr>
          <w:rFonts w:ascii="黑体" w:eastAsia="黑体" w:hAnsi="黑体" w:cs="黑体"/>
          <w:sz w:val="32"/>
          <w:szCs w:val="32"/>
        </w:rPr>
      </w:pPr>
      <w:r>
        <w:rPr>
          <w:rFonts w:ascii="黑体" w:eastAsia="黑体" w:hAnsi="黑体" w:cs="黑体" w:hint="eastAsia"/>
          <w:sz w:val="32"/>
          <w:szCs w:val="32"/>
        </w:rPr>
        <w:t>第四部分　　名词解释</w:t>
      </w:r>
    </w:p>
    <w:p w:rsidR="00A81FCD" w:rsidRDefault="00A81FCD">
      <w:pPr>
        <w:ind w:firstLineChars="200" w:firstLine="640"/>
        <w:jc w:val="left"/>
        <w:rPr>
          <w:rFonts w:ascii="宋体" w:hAnsi="宋体" w:cs="宋体"/>
          <w:sz w:val="32"/>
          <w:szCs w:val="32"/>
        </w:rPr>
      </w:pPr>
    </w:p>
    <w:p w:rsidR="00A81FCD" w:rsidRDefault="00A81FCD">
      <w:pPr>
        <w:jc w:val="left"/>
        <w:rPr>
          <w:rFonts w:ascii="黑体" w:eastAsia="黑体" w:hAnsi="黑体" w:cs="黑体"/>
          <w:sz w:val="32"/>
          <w:szCs w:val="32"/>
        </w:rPr>
        <w:sectPr w:rsidR="00A81FCD">
          <w:footerReference w:type="even" r:id="rId9"/>
          <w:footerReference w:type="default" r:id="rId10"/>
          <w:pgSz w:w="11906" w:h="16838"/>
          <w:pgMar w:top="1440" w:right="1531" w:bottom="1440" w:left="1587" w:header="850" w:footer="992" w:gutter="0"/>
          <w:pgNumType w:fmt="numberInDash" w:start="1"/>
          <w:cols w:space="720"/>
          <w:docGrid w:type="lines" w:linePitch="317"/>
        </w:sect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B91A50">
      <w:pPr>
        <w:widowControl/>
        <w:jc w:val="center"/>
        <w:outlineLvl w:val="0"/>
        <w:rPr>
          <w:rFonts w:ascii="黑体" w:eastAsia="黑体" w:hAnsi="宋体" w:cs="宋体"/>
          <w:kern w:val="0"/>
          <w:sz w:val="28"/>
          <w:szCs w:val="28"/>
        </w:rPr>
      </w:pPr>
      <w:r>
        <w:rPr>
          <w:rFonts w:ascii="黑体" w:eastAsia="黑体" w:hAnsi="黑体" w:cs="黑体" w:hint="eastAsia"/>
          <w:sz w:val="48"/>
          <w:szCs w:val="48"/>
        </w:rPr>
        <w:t>第一部分</w:t>
      </w:r>
      <w:r>
        <w:rPr>
          <w:rFonts w:ascii="黑体" w:eastAsia="黑体" w:hAnsi="黑体" w:cs="黑体" w:hint="eastAsia"/>
          <w:sz w:val="48"/>
          <w:szCs w:val="48"/>
        </w:rPr>
        <w:t xml:space="preserve">  </w:t>
      </w:r>
      <w:r>
        <w:rPr>
          <w:rFonts w:ascii="黑体" w:eastAsia="黑体" w:hAnsi="黑体" w:cs="黑体" w:hint="eastAsia"/>
          <w:sz w:val="48"/>
          <w:szCs w:val="48"/>
        </w:rPr>
        <w:t>封丘县人民检察院概况</w:t>
      </w: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sectPr w:rsidR="00A81FCD">
          <w:pgSz w:w="11906" w:h="16838"/>
          <w:pgMar w:top="1440" w:right="1800" w:bottom="1440" w:left="1800" w:header="720" w:footer="720" w:gutter="0"/>
          <w:pgNumType w:fmt="numberInDash"/>
          <w:cols w:space="720"/>
          <w:docGrid w:type="lines" w:linePitch="312"/>
        </w:sectPr>
      </w:pPr>
    </w:p>
    <w:p w:rsidR="00A81FCD" w:rsidRDefault="00B91A50">
      <w:pPr>
        <w:widowControl/>
        <w:ind w:firstLineChars="200" w:firstLine="640"/>
        <w:jc w:val="left"/>
        <w:outlineLvl w:val="1"/>
        <w:rPr>
          <w:rFonts w:ascii="黑体" w:eastAsia="黑体" w:hAnsi="黑体" w:cs="黑体"/>
          <w:kern w:val="0"/>
          <w:sz w:val="32"/>
          <w:szCs w:val="32"/>
        </w:rPr>
      </w:pPr>
      <w:r>
        <w:rPr>
          <w:rFonts w:ascii="黑体" w:eastAsia="黑体" w:hAnsi="黑体" w:cs="黑体" w:hint="eastAsia"/>
          <w:kern w:val="0"/>
          <w:sz w:val="32"/>
          <w:szCs w:val="32"/>
        </w:rPr>
        <w:lastRenderedPageBreak/>
        <w:t>一、部门</w:t>
      </w:r>
      <w:r>
        <w:rPr>
          <w:rFonts w:ascii="黑体" w:eastAsia="黑体" w:hAnsi="黑体" w:cs="黑体" w:hint="eastAsia"/>
          <w:bCs/>
          <w:sz w:val="32"/>
          <w:szCs w:val="32"/>
        </w:rPr>
        <w:t>职责</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（一）依照法律规定对有关刑事案件行使侦查权；</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（二）对刑事案件进行审查，批准或者决定是否逮捕犯罪嫌疑人；</w:t>
      </w:r>
      <w:r>
        <w:rPr>
          <w:rFonts w:ascii="仿宋_GB2312" w:eastAsia="仿宋_GB2312" w:hAnsi="仿宋_GB2312" w:cs="仿宋_GB2312"/>
          <w:kern w:val="0"/>
          <w:sz w:val="32"/>
          <w:szCs w:val="32"/>
        </w:rPr>
        <w:t xml:space="preserve"> </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（三）对刑事案件进行审查，决定是否提起公诉，对决定提起公诉的案件支持公诉；</w:t>
      </w:r>
      <w:r>
        <w:rPr>
          <w:rFonts w:ascii="仿宋_GB2312" w:eastAsia="仿宋_GB2312" w:hAnsi="仿宋_GB2312" w:cs="仿宋_GB2312"/>
          <w:kern w:val="0"/>
          <w:sz w:val="32"/>
          <w:szCs w:val="32"/>
        </w:rPr>
        <w:t xml:space="preserve"> </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（四）依照法律规定提起公益诉讼；</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（五）对诉讼活动实行法律监督；</w:t>
      </w:r>
      <w:r>
        <w:rPr>
          <w:rFonts w:ascii="仿宋_GB2312" w:eastAsia="仿宋_GB2312" w:hAnsi="仿宋_GB2312" w:cs="仿宋_GB2312"/>
          <w:kern w:val="0"/>
          <w:sz w:val="32"/>
          <w:szCs w:val="32"/>
        </w:rPr>
        <w:t xml:space="preserve"> </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（六）对判决、裁定等生效法律文书的执行工作实行法律监督；</w:t>
      </w:r>
      <w:r>
        <w:rPr>
          <w:rFonts w:ascii="仿宋_GB2312" w:eastAsia="仿宋_GB2312" w:hAnsi="仿宋_GB2312" w:cs="仿宋_GB2312"/>
          <w:kern w:val="0"/>
          <w:sz w:val="32"/>
          <w:szCs w:val="32"/>
        </w:rPr>
        <w:t xml:space="preserve"> </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（七）对监狱、看守所的执法活动实行法律监督；</w:t>
      </w:r>
      <w:r>
        <w:rPr>
          <w:rFonts w:ascii="仿宋_GB2312" w:eastAsia="仿宋_GB2312" w:hAnsi="仿宋_GB2312" w:cs="仿宋_GB2312"/>
          <w:kern w:val="0"/>
          <w:sz w:val="32"/>
          <w:szCs w:val="32"/>
        </w:rPr>
        <w:t xml:space="preserve"> </w:t>
      </w:r>
    </w:p>
    <w:p w:rsidR="00A81FCD" w:rsidRDefault="00B91A50">
      <w:pPr>
        <w:widowControl/>
        <w:ind w:firstLineChars="100" w:firstLine="32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（八）法律规定的其他职权。</w:t>
      </w:r>
    </w:p>
    <w:p w:rsidR="00A81FCD" w:rsidRDefault="00B91A50">
      <w:pPr>
        <w:widowControl/>
        <w:ind w:firstLineChars="200" w:firstLine="640"/>
        <w:jc w:val="left"/>
        <w:outlineLvl w:val="1"/>
        <w:rPr>
          <w:rFonts w:ascii="黑体" w:eastAsia="黑体" w:hAnsi="黑体" w:cs="黑体"/>
          <w:kern w:val="0"/>
          <w:sz w:val="32"/>
          <w:szCs w:val="32"/>
        </w:rPr>
      </w:pPr>
      <w:r>
        <w:rPr>
          <w:rFonts w:ascii="黑体" w:eastAsia="黑体" w:hAnsi="黑体" w:cs="黑体" w:hint="eastAsia"/>
          <w:kern w:val="0"/>
          <w:sz w:val="32"/>
          <w:szCs w:val="32"/>
        </w:rPr>
        <w:t>二、机构设置</w:t>
      </w:r>
    </w:p>
    <w:p w:rsidR="00A81FCD" w:rsidRDefault="00B91A50">
      <w:pPr>
        <w:widowControl/>
        <w:spacing w:line="572" w:lineRule="atLeast"/>
        <w:ind w:firstLine="640"/>
        <w:jc w:val="left"/>
      </w:pPr>
      <w:r>
        <w:rPr>
          <w:rFonts w:ascii="仿宋_GB2312" w:eastAsia="仿宋_GB2312" w:hAnsi="微软雅黑" w:cs="仿宋_GB2312" w:hint="eastAsia"/>
          <w:kern w:val="0"/>
          <w:sz w:val="32"/>
          <w:szCs w:val="32"/>
        </w:rPr>
        <w:t>封丘县人民检察院内设机构</w:t>
      </w:r>
      <w:r>
        <w:rPr>
          <w:rFonts w:ascii="仿宋_GB2312" w:eastAsia="仿宋_GB2312" w:hAnsi="微软雅黑" w:cs="仿宋_GB2312"/>
          <w:kern w:val="0"/>
          <w:sz w:val="32"/>
          <w:szCs w:val="32"/>
        </w:rPr>
        <w:t>1</w:t>
      </w:r>
      <w:r>
        <w:rPr>
          <w:rFonts w:ascii="仿宋_GB2312" w:eastAsia="仿宋_GB2312" w:hAnsi="微软雅黑" w:cs="仿宋_GB2312" w:hint="eastAsia"/>
          <w:kern w:val="0"/>
          <w:sz w:val="32"/>
          <w:szCs w:val="32"/>
        </w:rPr>
        <w:t>3</w:t>
      </w:r>
      <w:r>
        <w:rPr>
          <w:rFonts w:ascii="仿宋_GB2312" w:eastAsia="仿宋_GB2312" w:hAnsi="微软雅黑" w:cs="仿宋_GB2312"/>
          <w:kern w:val="0"/>
          <w:sz w:val="32"/>
          <w:szCs w:val="32"/>
        </w:rPr>
        <w:t>个</w:t>
      </w:r>
      <w:r>
        <w:rPr>
          <w:rFonts w:ascii="仿宋_GB2312" w:eastAsia="仿宋_GB2312" w:hAnsi="微软雅黑" w:cs="仿宋_GB2312" w:hint="eastAsia"/>
          <w:kern w:val="0"/>
          <w:sz w:val="32"/>
          <w:szCs w:val="32"/>
        </w:rPr>
        <w:t>职能部门</w:t>
      </w:r>
      <w:r>
        <w:rPr>
          <w:rFonts w:ascii="仿宋_GB2312" w:eastAsia="仿宋_GB2312" w:hAnsi="微软雅黑" w:cs="仿宋_GB2312"/>
          <w:kern w:val="0"/>
          <w:sz w:val="32"/>
          <w:szCs w:val="32"/>
        </w:rPr>
        <w:t>，</w:t>
      </w:r>
      <w:r>
        <w:rPr>
          <w:rFonts w:ascii="仿宋_GB2312" w:eastAsia="仿宋_GB2312" w:hAnsi="微软雅黑" w:cs="仿宋_GB2312" w:hint="eastAsia"/>
          <w:kern w:val="0"/>
          <w:sz w:val="32"/>
          <w:szCs w:val="32"/>
        </w:rPr>
        <w:t>包括</w:t>
      </w:r>
      <w:r>
        <w:rPr>
          <w:rFonts w:ascii="仿宋_GB2312" w:eastAsia="仿宋_GB2312" w:hAnsi="微软雅黑" w:cs="仿宋_GB2312"/>
          <w:kern w:val="0"/>
          <w:sz w:val="32"/>
          <w:szCs w:val="32"/>
        </w:rPr>
        <w:t>办公室、</w:t>
      </w:r>
      <w:r>
        <w:rPr>
          <w:rFonts w:ascii="仿宋_GB2312" w:eastAsia="仿宋_GB2312" w:hAnsi="微软雅黑" w:cs="仿宋_GB2312" w:hint="eastAsia"/>
          <w:kern w:val="0"/>
          <w:sz w:val="32"/>
          <w:szCs w:val="32"/>
        </w:rPr>
        <w:t>政治处、</w:t>
      </w:r>
      <w:r>
        <w:rPr>
          <w:rFonts w:ascii="仿宋_GB2312" w:eastAsia="仿宋_GB2312" w:hAnsi="微软雅黑" w:cs="仿宋_GB2312"/>
          <w:kern w:val="0"/>
          <w:sz w:val="32"/>
          <w:szCs w:val="32"/>
        </w:rPr>
        <w:t>侦查监督科、公诉科、监所检察科、民事行政检察科、控告申诉检察科</w:t>
      </w:r>
      <w:r>
        <w:rPr>
          <w:rFonts w:ascii="仿宋_GB2312" w:eastAsia="仿宋_GB2312" w:hAnsi="微软雅黑" w:cs="仿宋_GB2312" w:hint="eastAsia"/>
          <w:kern w:val="0"/>
          <w:sz w:val="32"/>
          <w:szCs w:val="32"/>
        </w:rPr>
        <w:t>、检察技术科、监察科、计财科、案件管理中心、未成年检察办公室、后勤服务中心等。</w:t>
      </w:r>
    </w:p>
    <w:p w:rsidR="00A81FCD" w:rsidRDefault="00B91A50">
      <w:pPr>
        <w:widowControl/>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封丘县人民检</w:t>
      </w:r>
      <w:r>
        <w:rPr>
          <w:rFonts w:ascii="仿宋_GB2312" w:eastAsia="仿宋_GB2312" w:hAnsi="仿宋_GB2312" w:cs="仿宋_GB2312" w:hint="eastAsia"/>
          <w:kern w:val="0"/>
          <w:sz w:val="32"/>
          <w:szCs w:val="32"/>
        </w:rPr>
        <w:t>察院</w:t>
      </w:r>
      <w:r>
        <w:rPr>
          <w:rFonts w:ascii="仿宋_GB2312" w:eastAsia="仿宋_GB2312" w:hAnsi="仿宋_GB2312" w:cs="仿宋_GB2312" w:hint="eastAsia"/>
          <w:kern w:val="0"/>
          <w:sz w:val="32"/>
          <w:szCs w:val="32"/>
        </w:rPr>
        <w:t>2018</w:t>
      </w:r>
      <w:r>
        <w:rPr>
          <w:rFonts w:ascii="仿宋_GB2312" w:eastAsia="仿宋_GB2312" w:hAnsi="仿宋_GB2312" w:cs="仿宋_GB2312" w:hint="eastAsia"/>
          <w:kern w:val="0"/>
          <w:sz w:val="32"/>
          <w:szCs w:val="32"/>
        </w:rPr>
        <w:t>年度部门决算为本级决算</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无二级机构</w:t>
      </w:r>
      <w:r>
        <w:rPr>
          <w:rFonts w:ascii="仿宋_GB2312" w:eastAsia="仿宋_GB2312" w:hAnsi="仿宋_GB2312" w:cs="仿宋_GB2312" w:hint="eastAsia"/>
          <w:kern w:val="0"/>
          <w:sz w:val="32"/>
          <w:szCs w:val="32"/>
        </w:rPr>
        <w:t>。</w:t>
      </w:r>
    </w:p>
    <w:p w:rsidR="00A81FCD" w:rsidRDefault="00B91A50" w:rsidP="00902C7A">
      <w:pPr>
        <w:widowControl/>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纳入本部门</w:t>
      </w:r>
      <w:r>
        <w:rPr>
          <w:rFonts w:ascii="仿宋_GB2312" w:eastAsia="仿宋_GB2312" w:hAnsi="仿宋_GB2312" w:cs="仿宋_GB2312" w:hint="eastAsia"/>
          <w:kern w:val="0"/>
          <w:sz w:val="32"/>
          <w:szCs w:val="32"/>
        </w:rPr>
        <w:t>2018</w:t>
      </w:r>
      <w:r>
        <w:rPr>
          <w:rFonts w:ascii="仿宋_GB2312" w:eastAsia="仿宋_GB2312" w:hAnsi="仿宋_GB2312" w:cs="仿宋_GB2312" w:hint="eastAsia"/>
          <w:kern w:val="0"/>
          <w:sz w:val="32"/>
          <w:szCs w:val="32"/>
        </w:rPr>
        <w:t>年度部门决算编制范围的单位共</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个，</w:t>
      </w:r>
      <w:r>
        <w:rPr>
          <w:rFonts w:ascii="仿宋_GB2312" w:eastAsia="仿宋_GB2312" w:hAnsi="仿宋_GB2312" w:cs="仿宋_GB2312" w:hint="eastAsia"/>
          <w:kern w:val="0"/>
          <w:sz w:val="32"/>
          <w:szCs w:val="32"/>
        </w:rPr>
        <w:t>具体是：</w:t>
      </w:r>
      <w:bookmarkStart w:id="0" w:name="_GoBack"/>
      <w:bookmarkEnd w:id="0"/>
      <w:r>
        <w:rPr>
          <w:rFonts w:ascii="仿宋_GB2312" w:eastAsia="仿宋_GB2312" w:hAnsi="仿宋_GB2312" w:cs="仿宋_GB2312" w:hint="eastAsia"/>
          <w:kern w:val="0"/>
          <w:sz w:val="32"/>
          <w:szCs w:val="32"/>
        </w:rPr>
        <w:t>封丘县</w:t>
      </w:r>
      <w:r>
        <w:rPr>
          <w:rFonts w:ascii="仿宋_GB2312" w:eastAsia="仿宋_GB2312" w:hAnsi="仿宋_GB2312" w:cs="仿宋_GB2312" w:hint="eastAsia"/>
          <w:kern w:val="0"/>
          <w:sz w:val="32"/>
          <w:szCs w:val="32"/>
        </w:rPr>
        <w:t>人民检察院</w:t>
      </w:r>
      <w:r>
        <w:rPr>
          <w:rFonts w:ascii="仿宋_GB2312" w:eastAsia="仿宋_GB2312" w:hAnsi="仿宋_GB2312" w:cs="仿宋_GB2312" w:hint="eastAsia"/>
          <w:kern w:val="0"/>
          <w:sz w:val="32"/>
          <w:szCs w:val="32"/>
        </w:rPr>
        <w:t>本级。</w:t>
      </w:r>
    </w:p>
    <w:p w:rsidR="00A81FCD" w:rsidRDefault="00A81FCD">
      <w:pPr>
        <w:widowControl/>
        <w:jc w:val="left"/>
        <w:rPr>
          <w:rFonts w:ascii="仿宋_GB2312" w:eastAsia="仿宋_GB2312" w:hAnsi="仿宋_GB2312" w:cs="仿宋_GB2312"/>
          <w:kern w:val="0"/>
          <w:sz w:val="32"/>
          <w:szCs w:val="32"/>
        </w:rPr>
      </w:pPr>
    </w:p>
    <w:p w:rsidR="00A81FCD" w:rsidRDefault="00A81FCD">
      <w:pPr>
        <w:widowControl/>
        <w:jc w:val="left"/>
        <w:rPr>
          <w:rFonts w:ascii="黑体" w:eastAsia="黑体" w:hAnsi="宋体" w:cs="宋体"/>
          <w:kern w:val="0"/>
          <w:sz w:val="28"/>
          <w:szCs w:val="28"/>
        </w:rPr>
        <w:sectPr w:rsidR="00A81FCD">
          <w:pgSz w:w="11906" w:h="16838"/>
          <w:pgMar w:top="1440" w:right="1800" w:bottom="1440" w:left="1800" w:header="720" w:footer="720" w:gutter="0"/>
          <w:pgNumType w:fmt="numberInDash"/>
          <w:cols w:space="720"/>
          <w:docGrid w:type="lines" w:linePitch="312"/>
        </w:sect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B91A50">
      <w:pPr>
        <w:jc w:val="center"/>
        <w:outlineLvl w:val="0"/>
        <w:rPr>
          <w:rFonts w:ascii="黑体" w:eastAsia="黑体" w:hAnsi="黑体" w:cs="黑体"/>
          <w:sz w:val="48"/>
          <w:szCs w:val="48"/>
        </w:rPr>
        <w:sectPr w:rsidR="00A81FCD">
          <w:pgSz w:w="11906" w:h="16838"/>
          <w:pgMar w:top="1440" w:right="1800" w:bottom="1440" w:left="1800" w:header="720" w:footer="720" w:gutter="0"/>
          <w:pgNumType w:fmt="numberInDash"/>
          <w:cols w:space="720"/>
          <w:docGrid w:type="lines" w:linePitch="312"/>
        </w:sectPr>
      </w:pPr>
      <w:r>
        <w:rPr>
          <w:rFonts w:ascii="黑体" w:eastAsia="黑体" w:hAnsi="黑体" w:cs="黑体" w:hint="eastAsia"/>
          <w:sz w:val="48"/>
          <w:szCs w:val="48"/>
        </w:rPr>
        <w:t>第二部分</w:t>
      </w:r>
      <w:r>
        <w:rPr>
          <w:rFonts w:ascii="黑体" w:eastAsia="黑体" w:hAnsi="黑体" w:cs="黑体" w:hint="eastAsia"/>
          <w:sz w:val="48"/>
          <w:szCs w:val="48"/>
        </w:rPr>
        <w:t xml:space="preserve">  2018</w:t>
      </w:r>
      <w:r>
        <w:rPr>
          <w:rFonts w:ascii="黑体" w:eastAsia="黑体" w:hAnsi="黑体" w:cs="黑体" w:hint="eastAsia"/>
          <w:sz w:val="48"/>
          <w:szCs w:val="48"/>
        </w:rPr>
        <w:t>年度部门决算表</w:t>
      </w:r>
    </w:p>
    <w:p w:rsidR="00A81FCD" w:rsidRDefault="00A81FCD">
      <w:pPr>
        <w:rPr>
          <w:rFonts w:ascii="仿宋_GB2312" w:eastAsia="仿宋_GB2312" w:hAnsi="仿宋_GB2312" w:cs="仿宋_GB2312"/>
          <w:sz w:val="32"/>
          <w:szCs w:val="32"/>
        </w:rPr>
      </w:pPr>
    </w:p>
    <w:tbl>
      <w:tblPr>
        <w:tblW w:w="14174" w:type="dxa"/>
        <w:tblLayout w:type="fixed"/>
        <w:tblLook w:val="04A0" w:firstRow="1" w:lastRow="0" w:firstColumn="1" w:lastColumn="0" w:noHBand="0" w:noVBand="1"/>
      </w:tblPr>
      <w:tblGrid>
        <w:gridCol w:w="4070"/>
        <w:gridCol w:w="656"/>
        <w:gridCol w:w="2616"/>
        <w:gridCol w:w="4070"/>
        <w:gridCol w:w="656"/>
        <w:gridCol w:w="2106"/>
      </w:tblGrid>
      <w:tr w:rsidR="00A81FCD">
        <w:trPr>
          <w:trHeight w:val="390"/>
        </w:trPr>
        <w:tc>
          <w:tcPr>
            <w:tcW w:w="407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6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616" w:type="dxa"/>
            <w:tcBorders>
              <w:top w:val="nil"/>
              <w:left w:val="nil"/>
              <w:bottom w:val="nil"/>
              <w:right w:val="nil"/>
            </w:tcBorders>
            <w:shd w:val="clear" w:color="000000" w:fill="FFFFFF"/>
            <w:vAlign w:val="bottom"/>
          </w:tcPr>
          <w:p w:rsidR="00A81FCD" w:rsidRDefault="00B91A50">
            <w:pPr>
              <w:widowControl/>
              <w:jc w:val="center"/>
              <w:rPr>
                <w:rFonts w:ascii="宋体" w:hAnsi="宋体" w:cs="Arial"/>
                <w:color w:val="000000"/>
                <w:kern w:val="0"/>
                <w:sz w:val="30"/>
                <w:szCs w:val="30"/>
              </w:rPr>
            </w:pPr>
            <w:r>
              <w:rPr>
                <w:rFonts w:ascii="宋体" w:hAnsi="宋体" w:cs="Arial" w:hint="eastAsia"/>
                <w:color w:val="000000"/>
                <w:kern w:val="0"/>
                <w:sz w:val="30"/>
                <w:szCs w:val="30"/>
              </w:rPr>
              <w:t>收入支出决算总表</w:t>
            </w:r>
          </w:p>
        </w:tc>
        <w:tc>
          <w:tcPr>
            <w:tcW w:w="407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6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10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r>
      <w:tr w:rsidR="00A81FCD">
        <w:trPr>
          <w:trHeight w:val="255"/>
        </w:trPr>
        <w:tc>
          <w:tcPr>
            <w:tcW w:w="407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6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6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07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6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106"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01</w:t>
            </w:r>
            <w:r>
              <w:rPr>
                <w:rFonts w:ascii="宋体" w:hAnsi="宋体" w:cs="Arial" w:hint="eastAsia"/>
                <w:color w:val="000000"/>
                <w:kern w:val="0"/>
                <w:sz w:val="20"/>
                <w:szCs w:val="20"/>
              </w:rPr>
              <w:t>表</w:t>
            </w:r>
          </w:p>
        </w:tc>
      </w:tr>
      <w:tr w:rsidR="00A81FCD">
        <w:trPr>
          <w:trHeight w:val="255"/>
        </w:trPr>
        <w:tc>
          <w:tcPr>
            <w:tcW w:w="4070" w:type="dxa"/>
            <w:tcBorders>
              <w:top w:val="nil"/>
              <w:left w:val="nil"/>
              <w:bottom w:val="nil"/>
              <w:right w:val="nil"/>
            </w:tcBorders>
            <w:shd w:val="clear" w:color="000000" w:fill="FFFFFF"/>
            <w:vAlign w:val="bottom"/>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部门：封丘县人民检察院</w:t>
            </w:r>
          </w:p>
        </w:tc>
        <w:tc>
          <w:tcPr>
            <w:tcW w:w="6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6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07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6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106"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A81FCD">
        <w:trPr>
          <w:trHeight w:val="308"/>
        </w:trPr>
        <w:tc>
          <w:tcPr>
            <w:tcW w:w="7342" w:type="dxa"/>
            <w:gridSpan w:val="3"/>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收入</w:t>
            </w:r>
          </w:p>
        </w:tc>
        <w:tc>
          <w:tcPr>
            <w:tcW w:w="6832" w:type="dxa"/>
            <w:gridSpan w:val="3"/>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支出</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行次</w:t>
            </w:r>
          </w:p>
        </w:tc>
        <w:tc>
          <w:tcPr>
            <w:tcW w:w="26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金额</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行次</w:t>
            </w:r>
          </w:p>
        </w:tc>
        <w:tc>
          <w:tcPr>
            <w:tcW w:w="210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金额</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 xml:space="preserve">　</w:t>
            </w:r>
          </w:p>
        </w:tc>
        <w:tc>
          <w:tcPr>
            <w:tcW w:w="26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 xml:space="preserve">　</w:t>
            </w:r>
          </w:p>
        </w:tc>
        <w:tc>
          <w:tcPr>
            <w:tcW w:w="210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一、财政拨款收入</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1,748.16</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一、一般公共服务支出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28</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二、上级补助收入</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二、外交支出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29</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三、事业收入</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三、国防支出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30</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四、经营收入</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四、公共安全支出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31</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五、附属单位上缴收入</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五、教育支出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32</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六、其他收入</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6</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六、科学技术支出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33</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7</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七、文化体育与传媒支出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34</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8</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八、社会保障和就业支出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35</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9</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九、医疗卫生与计划生育支出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36</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10</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十、节能环保支出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37</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11</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十一、城乡社区支出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38</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12</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十二、农林水支出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39</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13</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十三、交通运输支出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40</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14</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十四、资源勘探信息等支出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41</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15</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十五、商业服务业等支出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42</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16</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十六、金融支出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43</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lastRenderedPageBreak/>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17</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十七、援助其他地区支出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44</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18</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十八、国土海洋气象等支出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45</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19</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十九、住房保障支出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46</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20</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二十、粮油物资储备支出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47</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21</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二十一、其他支出</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48</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22</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49</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本年收入合计</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23</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1,748.16</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本年支出合计</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50</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1,866.90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用事业基金弥补收支差额</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24</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结余分配</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51</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年初结转和结余</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25</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240.12</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年末结转和结余</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52</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121.38</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26</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53</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r>
      <w:tr w:rsidR="00A81FCD">
        <w:trPr>
          <w:trHeight w:val="308"/>
        </w:trPr>
        <w:tc>
          <w:tcPr>
            <w:tcW w:w="4070"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总计</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27</w:t>
            </w:r>
          </w:p>
        </w:tc>
        <w:tc>
          <w:tcPr>
            <w:tcW w:w="2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1,988.28</w:t>
            </w:r>
          </w:p>
        </w:tc>
        <w:tc>
          <w:tcPr>
            <w:tcW w:w="40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总计</w:t>
            </w:r>
          </w:p>
        </w:tc>
        <w:tc>
          <w:tcPr>
            <w:tcW w:w="65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54</w:t>
            </w:r>
          </w:p>
        </w:tc>
        <w:tc>
          <w:tcPr>
            <w:tcW w:w="210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1,988.28</w:t>
            </w:r>
          </w:p>
        </w:tc>
      </w:tr>
      <w:tr w:rsidR="00A81FCD">
        <w:trPr>
          <w:trHeight w:val="308"/>
        </w:trPr>
        <w:tc>
          <w:tcPr>
            <w:tcW w:w="14174" w:type="dxa"/>
            <w:gridSpan w:val="6"/>
            <w:tcBorders>
              <w:top w:val="nil"/>
              <w:left w:val="nil"/>
              <w:bottom w:val="nil"/>
              <w:right w:val="nil"/>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注：本表反映部门本年度的总收支和年末结转结余情况。本表金额转换为万元时，因四舍五入可能存在尾差。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p>
    <w:tbl>
      <w:tblPr>
        <w:tblW w:w="14174" w:type="dxa"/>
        <w:tblLayout w:type="fixed"/>
        <w:tblLook w:val="04A0" w:firstRow="1" w:lastRow="0" w:firstColumn="1" w:lastColumn="0" w:noHBand="0" w:noVBand="1"/>
      </w:tblPr>
      <w:tblGrid>
        <w:gridCol w:w="329"/>
        <w:gridCol w:w="329"/>
        <w:gridCol w:w="329"/>
        <w:gridCol w:w="3956"/>
        <w:gridCol w:w="1179"/>
        <w:gridCol w:w="1180"/>
        <w:gridCol w:w="1716"/>
        <w:gridCol w:w="1180"/>
        <w:gridCol w:w="1180"/>
        <w:gridCol w:w="1180"/>
        <w:gridCol w:w="1616"/>
      </w:tblGrid>
      <w:tr w:rsidR="00A81FCD">
        <w:trPr>
          <w:trHeight w:val="390"/>
        </w:trPr>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lastRenderedPageBreak/>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9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7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716" w:type="dxa"/>
            <w:tcBorders>
              <w:top w:val="nil"/>
              <w:left w:val="nil"/>
              <w:bottom w:val="nil"/>
              <w:right w:val="nil"/>
            </w:tcBorders>
            <w:shd w:val="clear" w:color="000000" w:fill="FFFFFF"/>
            <w:vAlign w:val="bottom"/>
          </w:tcPr>
          <w:p w:rsidR="00A81FCD" w:rsidRDefault="00B91A50">
            <w:pPr>
              <w:widowControl/>
              <w:jc w:val="center"/>
              <w:rPr>
                <w:rFonts w:ascii="宋体" w:hAnsi="宋体" w:cs="Arial"/>
                <w:color w:val="000000"/>
                <w:kern w:val="0"/>
                <w:sz w:val="30"/>
                <w:szCs w:val="30"/>
              </w:rPr>
            </w:pPr>
            <w:r>
              <w:rPr>
                <w:rFonts w:ascii="宋体" w:hAnsi="宋体" w:cs="Arial" w:hint="eastAsia"/>
                <w:color w:val="000000"/>
                <w:kern w:val="0"/>
                <w:sz w:val="30"/>
                <w:szCs w:val="30"/>
              </w:rPr>
              <w:t>收入决算表</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6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r>
      <w:tr w:rsidR="00A81FCD">
        <w:trPr>
          <w:trHeight w:val="255"/>
        </w:trPr>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9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7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7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616"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02</w:t>
            </w:r>
            <w:r>
              <w:rPr>
                <w:rFonts w:ascii="宋体" w:hAnsi="宋体" w:cs="Arial" w:hint="eastAsia"/>
                <w:color w:val="000000"/>
                <w:kern w:val="0"/>
                <w:sz w:val="20"/>
                <w:szCs w:val="20"/>
              </w:rPr>
              <w:t>表</w:t>
            </w:r>
          </w:p>
        </w:tc>
      </w:tr>
      <w:tr w:rsidR="00A81FCD">
        <w:trPr>
          <w:trHeight w:val="255"/>
        </w:trPr>
        <w:tc>
          <w:tcPr>
            <w:tcW w:w="4943" w:type="dxa"/>
            <w:gridSpan w:val="4"/>
            <w:tcBorders>
              <w:top w:val="nil"/>
              <w:left w:val="nil"/>
              <w:bottom w:val="nil"/>
              <w:right w:val="nil"/>
            </w:tcBorders>
            <w:shd w:val="clear" w:color="000000" w:fill="FFFFFF"/>
            <w:vAlign w:val="bottom"/>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部门：封丘县人民检察院</w:t>
            </w:r>
          </w:p>
        </w:tc>
        <w:tc>
          <w:tcPr>
            <w:tcW w:w="117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7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8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616"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A81FCD">
        <w:trPr>
          <w:trHeight w:val="308"/>
        </w:trPr>
        <w:tc>
          <w:tcPr>
            <w:tcW w:w="4943" w:type="dxa"/>
            <w:gridSpan w:val="4"/>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1179"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本年收入合计</w:t>
            </w:r>
          </w:p>
        </w:tc>
        <w:tc>
          <w:tcPr>
            <w:tcW w:w="1180"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财政拨款收入</w:t>
            </w:r>
          </w:p>
        </w:tc>
        <w:tc>
          <w:tcPr>
            <w:tcW w:w="1716"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上级补助收入</w:t>
            </w:r>
          </w:p>
        </w:tc>
        <w:tc>
          <w:tcPr>
            <w:tcW w:w="1180"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事业收入</w:t>
            </w:r>
          </w:p>
        </w:tc>
        <w:tc>
          <w:tcPr>
            <w:tcW w:w="1180"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经营收入</w:t>
            </w:r>
          </w:p>
        </w:tc>
        <w:tc>
          <w:tcPr>
            <w:tcW w:w="1180"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附属单位上缴收入</w:t>
            </w:r>
          </w:p>
        </w:tc>
        <w:tc>
          <w:tcPr>
            <w:tcW w:w="1616"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其他收入</w:t>
            </w:r>
          </w:p>
        </w:tc>
      </w:tr>
      <w:tr w:rsidR="00A81FCD">
        <w:trPr>
          <w:trHeight w:val="312"/>
        </w:trPr>
        <w:tc>
          <w:tcPr>
            <w:tcW w:w="987" w:type="dxa"/>
            <w:gridSpan w:val="3"/>
            <w:vMerge w:val="restart"/>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功能分类科目编码</w:t>
            </w:r>
          </w:p>
        </w:tc>
        <w:tc>
          <w:tcPr>
            <w:tcW w:w="395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科目名称</w:t>
            </w:r>
          </w:p>
        </w:tc>
        <w:tc>
          <w:tcPr>
            <w:tcW w:w="1179"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7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12"/>
        </w:trPr>
        <w:tc>
          <w:tcPr>
            <w:tcW w:w="987" w:type="dxa"/>
            <w:gridSpan w:val="3"/>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95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79"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7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12"/>
        </w:trPr>
        <w:tc>
          <w:tcPr>
            <w:tcW w:w="987" w:type="dxa"/>
            <w:gridSpan w:val="3"/>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95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79"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7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80"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08"/>
        </w:trPr>
        <w:tc>
          <w:tcPr>
            <w:tcW w:w="4943" w:type="dxa"/>
            <w:gridSpan w:val="4"/>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1179"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118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17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c>
          <w:tcPr>
            <w:tcW w:w="118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w:t>
            </w:r>
          </w:p>
        </w:tc>
        <w:tc>
          <w:tcPr>
            <w:tcW w:w="118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w:t>
            </w:r>
          </w:p>
        </w:tc>
        <w:tc>
          <w:tcPr>
            <w:tcW w:w="118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6</w:t>
            </w:r>
          </w:p>
        </w:tc>
        <w:tc>
          <w:tcPr>
            <w:tcW w:w="16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7</w:t>
            </w:r>
          </w:p>
        </w:tc>
      </w:tr>
      <w:tr w:rsidR="00A81FCD">
        <w:trPr>
          <w:trHeight w:val="308"/>
        </w:trPr>
        <w:tc>
          <w:tcPr>
            <w:tcW w:w="4943" w:type="dxa"/>
            <w:gridSpan w:val="4"/>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合计</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1,748.16</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1,748.16</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一般公共服务支出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2019999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其他一般公共服务支出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公共安全支出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1,626.91</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1,626.91</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检察</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1,626.91</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1,626.91</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行政运行</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1,134.91</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1,134.91</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2040402</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一般行政管理事务</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293.00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293.00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其他检察支出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199.00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199.00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社会保障和就业支出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行政事业单位离退休</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87.25</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87.25</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归口管理的行政单位离退休</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0.90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0.90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机关事业单位基本养老保险缴费支出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86.35</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86.35</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其他社会保障和就业支出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2089901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其他社会保障和就业支出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210</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医疗卫生与计划生育支出</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lastRenderedPageBreak/>
              <w:t>21011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行政事业单位医疗</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2101101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行政单位医疗</w:t>
            </w:r>
          </w:p>
        </w:tc>
        <w:tc>
          <w:tcPr>
            <w:tcW w:w="117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8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14174" w:type="dxa"/>
            <w:gridSpan w:val="11"/>
            <w:tcBorders>
              <w:top w:val="nil"/>
              <w:left w:val="nil"/>
              <w:bottom w:val="nil"/>
              <w:right w:val="nil"/>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注：本表反映部门本年度取得的各项收入情况。本表金额转换为万元时，因四舍五入可能存在尾差。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p>
    <w:tbl>
      <w:tblPr>
        <w:tblW w:w="14174" w:type="dxa"/>
        <w:tblLayout w:type="fixed"/>
        <w:tblLook w:val="04A0" w:firstRow="1" w:lastRow="0" w:firstColumn="1" w:lastColumn="0" w:noHBand="0" w:noVBand="1"/>
      </w:tblPr>
      <w:tblGrid>
        <w:gridCol w:w="329"/>
        <w:gridCol w:w="329"/>
        <w:gridCol w:w="329"/>
        <w:gridCol w:w="3956"/>
        <w:gridCol w:w="1474"/>
        <w:gridCol w:w="1716"/>
        <w:gridCol w:w="1475"/>
        <w:gridCol w:w="1475"/>
        <w:gridCol w:w="1475"/>
        <w:gridCol w:w="1616"/>
      </w:tblGrid>
      <w:tr w:rsidR="00A81FCD">
        <w:trPr>
          <w:trHeight w:val="390"/>
        </w:trPr>
        <w:tc>
          <w:tcPr>
            <w:tcW w:w="32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2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2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95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4"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716" w:type="dxa"/>
            <w:tcBorders>
              <w:top w:val="nil"/>
              <w:left w:val="nil"/>
              <w:bottom w:val="nil"/>
              <w:right w:val="nil"/>
            </w:tcBorders>
            <w:shd w:val="clear" w:color="auto" w:fill="auto"/>
            <w:vAlign w:val="bottom"/>
          </w:tcPr>
          <w:p w:rsidR="00A81FCD" w:rsidRDefault="00B91A50">
            <w:pPr>
              <w:widowControl/>
              <w:jc w:val="center"/>
              <w:rPr>
                <w:rFonts w:ascii="宋体" w:hAnsi="宋体" w:cs="Arial"/>
                <w:color w:val="000000"/>
                <w:kern w:val="0"/>
                <w:sz w:val="30"/>
                <w:szCs w:val="30"/>
              </w:rPr>
            </w:pPr>
            <w:r>
              <w:rPr>
                <w:rFonts w:ascii="宋体" w:hAnsi="宋体" w:cs="Arial" w:hint="eastAsia"/>
                <w:color w:val="000000"/>
                <w:kern w:val="0"/>
                <w:sz w:val="30"/>
                <w:szCs w:val="30"/>
              </w:rPr>
              <w:t>支出决算表</w:t>
            </w: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1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r>
      <w:tr w:rsidR="00A81FCD">
        <w:trPr>
          <w:trHeight w:val="255"/>
        </w:trPr>
        <w:tc>
          <w:tcPr>
            <w:tcW w:w="32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2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2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95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4"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71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16" w:type="dxa"/>
            <w:tcBorders>
              <w:top w:val="nil"/>
              <w:left w:val="nil"/>
              <w:bottom w:val="nil"/>
              <w:right w:val="nil"/>
            </w:tcBorders>
            <w:shd w:val="clear" w:color="auto" w:fill="auto"/>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03</w:t>
            </w:r>
            <w:r>
              <w:rPr>
                <w:rFonts w:ascii="宋体" w:hAnsi="宋体" w:cs="Arial" w:hint="eastAsia"/>
                <w:color w:val="000000"/>
                <w:kern w:val="0"/>
                <w:sz w:val="20"/>
                <w:szCs w:val="20"/>
              </w:rPr>
              <w:t>表</w:t>
            </w:r>
          </w:p>
        </w:tc>
      </w:tr>
      <w:tr w:rsidR="00A81FCD">
        <w:trPr>
          <w:trHeight w:val="255"/>
        </w:trPr>
        <w:tc>
          <w:tcPr>
            <w:tcW w:w="4943" w:type="dxa"/>
            <w:gridSpan w:val="4"/>
            <w:tcBorders>
              <w:top w:val="nil"/>
              <w:left w:val="nil"/>
              <w:bottom w:val="nil"/>
              <w:right w:val="nil"/>
            </w:tcBorders>
            <w:shd w:val="clear" w:color="auto" w:fill="auto"/>
            <w:vAlign w:val="bottom"/>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部门：封丘县人民检察院</w:t>
            </w:r>
          </w:p>
        </w:tc>
        <w:tc>
          <w:tcPr>
            <w:tcW w:w="1474"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71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75"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16" w:type="dxa"/>
            <w:tcBorders>
              <w:top w:val="nil"/>
              <w:left w:val="nil"/>
              <w:bottom w:val="nil"/>
              <w:right w:val="nil"/>
            </w:tcBorders>
            <w:shd w:val="clear" w:color="auto" w:fill="auto"/>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A81FCD">
        <w:trPr>
          <w:trHeight w:val="308"/>
        </w:trPr>
        <w:tc>
          <w:tcPr>
            <w:tcW w:w="4943" w:type="dxa"/>
            <w:gridSpan w:val="4"/>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1474"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本年支出合计</w:t>
            </w:r>
          </w:p>
        </w:tc>
        <w:tc>
          <w:tcPr>
            <w:tcW w:w="1716"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基本支出</w:t>
            </w:r>
          </w:p>
        </w:tc>
        <w:tc>
          <w:tcPr>
            <w:tcW w:w="1475"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项目支出</w:t>
            </w:r>
          </w:p>
        </w:tc>
        <w:tc>
          <w:tcPr>
            <w:tcW w:w="1475"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上缴上级支出</w:t>
            </w:r>
          </w:p>
        </w:tc>
        <w:tc>
          <w:tcPr>
            <w:tcW w:w="1475"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经营支出</w:t>
            </w:r>
          </w:p>
        </w:tc>
        <w:tc>
          <w:tcPr>
            <w:tcW w:w="1616" w:type="dxa"/>
            <w:vMerge w:val="restart"/>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对附属单位补助支出</w:t>
            </w:r>
          </w:p>
        </w:tc>
      </w:tr>
      <w:tr w:rsidR="00A81FCD">
        <w:trPr>
          <w:trHeight w:val="312"/>
        </w:trPr>
        <w:tc>
          <w:tcPr>
            <w:tcW w:w="987" w:type="dxa"/>
            <w:gridSpan w:val="3"/>
            <w:vMerge w:val="restart"/>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功能分类科目编码</w:t>
            </w:r>
          </w:p>
        </w:tc>
        <w:tc>
          <w:tcPr>
            <w:tcW w:w="395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科目名称</w:t>
            </w:r>
          </w:p>
        </w:tc>
        <w:tc>
          <w:tcPr>
            <w:tcW w:w="1474"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7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12"/>
        </w:trPr>
        <w:tc>
          <w:tcPr>
            <w:tcW w:w="987" w:type="dxa"/>
            <w:gridSpan w:val="3"/>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95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4"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7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12"/>
        </w:trPr>
        <w:tc>
          <w:tcPr>
            <w:tcW w:w="987" w:type="dxa"/>
            <w:gridSpan w:val="3"/>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95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4"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7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75"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single" w:sz="4" w:space="0" w:color="000000"/>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08"/>
        </w:trPr>
        <w:tc>
          <w:tcPr>
            <w:tcW w:w="4943" w:type="dxa"/>
            <w:gridSpan w:val="4"/>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1474"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17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147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c>
          <w:tcPr>
            <w:tcW w:w="147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w:t>
            </w:r>
          </w:p>
        </w:tc>
        <w:tc>
          <w:tcPr>
            <w:tcW w:w="147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w:t>
            </w:r>
          </w:p>
        </w:tc>
        <w:tc>
          <w:tcPr>
            <w:tcW w:w="16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6</w:t>
            </w:r>
          </w:p>
        </w:tc>
      </w:tr>
      <w:tr w:rsidR="00A81FCD">
        <w:trPr>
          <w:trHeight w:val="308"/>
        </w:trPr>
        <w:tc>
          <w:tcPr>
            <w:tcW w:w="4943" w:type="dxa"/>
            <w:gridSpan w:val="4"/>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合计</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1,866.90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1,583.65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283.25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一般公共服务支出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2019999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其他一般公共服务支出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公共安全支出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1,461.69</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283.25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检察</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1,461.69</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283.25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行政运行</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1,197.54</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1,197.54</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2040402</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一般行政管理事务</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227.13</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227.13</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查办和预防职务犯罪</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40.00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其他检察支出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280.28</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264.15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16.12</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社会保障和就业支出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行政事业单位离退休</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87.25</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87.25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归口管理的行政单位离退休</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0.90</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0.90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机关事业单位基本养老保险缴费支出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86.35</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86.35</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其他社会保障和就业支出</w:t>
            </w:r>
          </w:p>
        </w:tc>
        <w:tc>
          <w:tcPr>
            <w:tcW w:w="1474"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2089901</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其他社会保障和就业支出</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lastRenderedPageBreak/>
              <w:t>210</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医疗卫生与计划生育支出</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21011</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行政事业单位医疗</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2101101</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行政单位医疗</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213</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农林水支出</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21305</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扶贫</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2130501</w:t>
            </w:r>
          </w:p>
        </w:tc>
        <w:tc>
          <w:tcPr>
            <w:tcW w:w="3956" w:type="dxa"/>
            <w:tcBorders>
              <w:top w:val="nil"/>
              <w:left w:val="nil"/>
              <w:bottom w:val="single" w:sz="4" w:space="0" w:color="000000"/>
              <w:right w:val="single" w:sz="4" w:space="0" w:color="000000"/>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行政运行</w:t>
            </w:r>
          </w:p>
        </w:tc>
        <w:tc>
          <w:tcPr>
            <w:tcW w:w="1474"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7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75"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auto" w:fill="auto"/>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14174" w:type="dxa"/>
            <w:gridSpan w:val="10"/>
            <w:tcBorders>
              <w:top w:val="nil"/>
              <w:left w:val="nil"/>
              <w:bottom w:val="nil"/>
              <w:right w:val="nil"/>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注：本表反映部门本年度各项支出情况。本表金额转换为万元时，因四舍五入可能存在尾差。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p>
    <w:tbl>
      <w:tblPr>
        <w:tblW w:w="14174" w:type="dxa"/>
        <w:tblLayout w:type="fixed"/>
        <w:tblLook w:val="04A0" w:firstRow="1" w:lastRow="0" w:firstColumn="1" w:lastColumn="0" w:noHBand="0" w:noVBand="1"/>
      </w:tblPr>
      <w:tblGrid>
        <w:gridCol w:w="3182"/>
        <w:gridCol w:w="472"/>
        <w:gridCol w:w="1538"/>
        <w:gridCol w:w="3816"/>
        <w:gridCol w:w="472"/>
        <w:gridCol w:w="1539"/>
        <w:gridCol w:w="1539"/>
        <w:gridCol w:w="1616"/>
      </w:tblGrid>
      <w:tr w:rsidR="00A81FCD">
        <w:trPr>
          <w:trHeight w:val="390"/>
        </w:trPr>
        <w:tc>
          <w:tcPr>
            <w:tcW w:w="3182"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72"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538"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816" w:type="dxa"/>
            <w:tcBorders>
              <w:top w:val="nil"/>
              <w:left w:val="nil"/>
              <w:bottom w:val="nil"/>
              <w:right w:val="nil"/>
            </w:tcBorders>
            <w:shd w:val="clear" w:color="auto" w:fill="auto"/>
            <w:vAlign w:val="bottom"/>
          </w:tcPr>
          <w:p w:rsidR="00A81FCD" w:rsidRDefault="00B91A50">
            <w:pPr>
              <w:widowControl/>
              <w:jc w:val="center"/>
              <w:rPr>
                <w:rFonts w:ascii="宋体" w:hAnsi="宋体" w:cs="Arial"/>
                <w:color w:val="000000"/>
                <w:kern w:val="0"/>
                <w:sz w:val="30"/>
                <w:szCs w:val="30"/>
              </w:rPr>
            </w:pPr>
            <w:r>
              <w:rPr>
                <w:rFonts w:ascii="宋体" w:hAnsi="宋体" w:cs="Arial" w:hint="eastAsia"/>
                <w:color w:val="000000"/>
                <w:kern w:val="0"/>
                <w:sz w:val="30"/>
                <w:szCs w:val="30"/>
              </w:rPr>
              <w:t>财政拨款收入支出决算总表</w:t>
            </w:r>
          </w:p>
        </w:tc>
        <w:tc>
          <w:tcPr>
            <w:tcW w:w="472"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5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5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1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r>
      <w:tr w:rsidR="00A81FCD">
        <w:trPr>
          <w:trHeight w:val="255"/>
        </w:trPr>
        <w:tc>
          <w:tcPr>
            <w:tcW w:w="3182"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72"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538"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381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72"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5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5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16" w:type="dxa"/>
            <w:tcBorders>
              <w:top w:val="nil"/>
              <w:left w:val="nil"/>
              <w:bottom w:val="nil"/>
              <w:right w:val="nil"/>
            </w:tcBorders>
            <w:shd w:val="clear" w:color="auto" w:fill="auto"/>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04</w:t>
            </w:r>
            <w:r>
              <w:rPr>
                <w:rFonts w:ascii="宋体" w:hAnsi="宋体" w:cs="Arial" w:hint="eastAsia"/>
                <w:color w:val="000000"/>
                <w:kern w:val="0"/>
                <w:sz w:val="20"/>
                <w:szCs w:val="20"/>
              </w:rPr>
              <w:t>表</w:t>
            </w:r>
          </w:p>
        </w:tc>
      </w:tr>
      <w:tr w:rsidR="00A81FCD">
        <w:trPr>
          <w:trHeight w:val="255"/>
        </w:trPr>
        <w:tc>
          <w:tcPr>
            <w:tcW w:w="3182" w:type="dxa"/>
            <w:tcBorders>
              <w:top w:val="nil"/>
              <w:left w:val="nil"/>
              <w:bottom w:val="nil"/>
              <w:right w:val="nil"/>
            </w:tcBorders>
            <w:shd w:val="clear" w:color="000000" w:fill="FFFFFF"/>
            <w:vAlign w:val="bottom"/>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部门：封丘县人民检察院</w:t>
            </w:r>
          </w:p>
        </w:tc>
        <w:tc>
          <w:tcPr>
            <w:tcW w:w="472"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538"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8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72"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53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53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616"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A81FCD">
        <w:trPr>
          <w:trHeight w:val="308"/>
        </w:trPr>
        <w:tc>
          <w:tcPr>
            <w:tcW w:w="5192" w:type="dxa"/>
            <w:gridSpan w:val="3"/>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收</w:t>
            </w:r>
            <w:r>
              <w:rPr>
                <w:rFonts w:ascii="宋体" w:hAnsi="宋体" w:cs="Arial" w:hint="eastAsia"/>
                <w:color w:val="000000"/>
                <w:kern w:val="0"/>
                <w:sz w:val="22"/>
              </w:rPr>
              <w:t xml:space="preserve">     </w:t>
            </w:r>
            <w:r>
              <w:rPr>
                <w:rFonts w:ascii="宋体" w:hAnsi="宋体" w:cs="Arial" w:hint="eastAsia"/>
                <w:color w:val="000000"/>
                <w:kern w:val="0"/>
                <w:sz w:val="22"/>
              </w:rPr>
              <w:t>入</w:t>
            </w:r>
          </w:p>
        </w:tc>
        <w:tc>
          <w:tcPr>
            <w:tcW w:w="8982" w:type="dxa"/>
            <w:gridSpan w:val="5"/>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支</w:t>
            </w:r>
            <w:r>
              <w:rPr>
                <w:rFonts w:ascii="宋体" w:hAnsi="宋体" w:cs="Arial" w:hint="eastAsia"/>
                <w:color w:val="000000"/>
                <w:kern w:val="0"/>
                <w:sz w:val="22"/>
              </w:rPr>
              <w:t xml:space="preserve">     </w:t>
            </w:r>
            <w:r>
              <w:rPr>
                <w:rFonts w:ascii="宋体" w:hAnsi="宋体" w:cs="Arial" w:hint="eastAsia"/>
                <w:color w:val="000000"/>
                <w:kern w:val="0"/>
                <w:sz w:val="22"/>
              </w:rPr>
              <w:t>出</w:t>
            </w:r>
          </w:p>
        </w:tc>
      </w:tr>
      <w:tr w:rsidR="00A81FCD">
        <w:trPr>
          <w:trHeight w:val="312"/>
        </w:trPr>
        <w:tc>
          <w:tcPr>
            <w:tcW w:w="3182" w:type="dxa"/>
            <w:vMerge w:val="restart"/>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472"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行次</w:t>
            </w:r>
          </w:p>
        </w:tc>
        <w:tc>
          <w:tcPr>
            <w:tcW w:w="1538"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金额</w:t>
            </w:r>
          </w:p>
        </w:tc>
        <w:tc>
          <w:tcPr>
            <w:tcW w:w="381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472"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行次</w:t>
            </w:r>
          </w:p>
        </w:tc>
        <w:tc>
          <w:tcPr>
            <w:tcW w:w="1539"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合计</w:t>
            </w:r>
          </w:p>
        </w:tc>
        <w:tc>
          <w:tcPr>
            <w:tcW w:w="1539"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一般公共预算财政拨款</w:t>
            </w:r>
          </w:p>
        </w:tc>
        <w:tc>
          <w:tcPr>
            <w:tcW w:w="161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政府性基金预算财政拨款</w:t>
            </w:r>
          </w:p>
        </w:tc>
      </w:tr>
      <w:tr w:rsidR="00A81FCD">
        <w:trPr>
          <w:trHeight w:val="615"/>
        </w:trPr>
        <w:tc>
          <w:tcPr>
            <w:tcW w:w="3182" w:type="dxa"/>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472"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538"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81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472"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539"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539"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61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 xml:space="preserve">　</w:t>
            </w:r>
          </w:p>
        </w:tc>
        <w:tc>
          <w:tcPr>
            <w:tcW w:w="1538"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 xml:space="preserve">　</w:t>
            </w:r>
          </w:p>
        </w:tc>
        <w:tc>
          <w:tcPr>
            <w:tcW w:w="1539"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1539"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c>
          <w:tcPr>
            <w:tcW w:w="16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一、一般公共预算财政拨款</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1,748.16</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一、一般公共服务支出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28</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二、政府性基金预算财政拨款</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二、外交支出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29</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三、国防支出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四、公共安全支出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31</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五、教育支出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32</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6</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六、科学技术支出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33</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7</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七、文化体育与传媒支出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34</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8</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八、社会保障和就业支出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35</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9</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九、医疗卫生与计划生育支出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36</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10</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十、节能环保支出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37</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11</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十一、城乡社区支出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38</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12</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十二、农林水支出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39</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13</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十三、交通运输支出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14</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十四、资源勘探信息等支出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41</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15</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十五、商业服务业等支出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42</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16</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十六、金融支出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43</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lastRenderedPageBreak/>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17</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十七、援助其他地区支出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44</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18</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十八、国土海洋气象等支出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45</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19</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十九、住房保障支出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46</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20</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二十、粮油物资储备支出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47</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21</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二十一、其他支出</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48</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b/>
                <w:bCs/>
                <w:color w:val="000000"/>
                <w:kern w:val="0"/>
                <w:sz w:val="22"/>
              </w:rPr>
            </w:pPr>
            <w:r>
              <w:rPr>
                <w:rFonts w:ascii="宋体" w:hAnsi="宋体" w:cs="Arial" w:hint="eastAsia"/>
                <w:b/>
                <w:bCs/>
                <w:color w:val="000000"/>
                <w:kern w:val="0"/>
                <w:sz w:val="22"/>
              </w:rPr>
              <w:t>本年收入合计</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22</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1,748.16</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b/>
                <w:bCs/>
                <w:color w:val="000000"/>
                <w:kern w:val="0"/>
                <w:sz w:val="22"/>
              </w:rPr>
            </w:pPr>
            <w:r>
              <w:rPr>
                <w:rFonts w:ascii="宋体" w:hAnsi="宋体" w:cs="Arial" w:hint="eastAsia"/>
                <w:b/>
                <w:bCs/>
                <w:color w:val="000000"/>
                <w:kern w:val="0"/>
                <w:sz w:val="22"/>
              </w:rPr>
              <w:t>本年支出合计</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49</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1,866.90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1,866.90</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年初财政拨款结转和结余</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23</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240.12</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年末财政拨款结转和结余</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50</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121.38</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121.38</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一般公共预算财政拨款</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24</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240.12</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51</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政府性基金预算财政拨款</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25</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52</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26</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53</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 xml:space="preserve">　</w:t>
            </w:r>
          </w:p>
        </w:tc>
      </w:tr>
      <w:tr w:rsidR="00A81FCD">
        <w:trPr>
          <w:trHeight w:val="308"/>
        </w:trPr>
        <w:tc>
          <w:tcPr>
            <w:tcW w:w="3182"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b/>
                <w:bCs/>
                <w:color w:val="000000"/>
                <w:kern w:val="0"/>
                <w:sz w:val="22"/>
              </w:rPr>
            </w:pPr>
            <w:r>
              <w:rPr>
                <w:rFonts w:ascii="宋体" w:hAnsi="宋体" w:cs="Arial" w:hint="eastAsia"/>
                <w:b/>
                <w:bCs/>
                <w:color w:val="000000"/>
                <w:kern w:val="0"/>
                <w:sz w:val="22"/>
              </w:rPr>
              <w:t>总计</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27</w:t>
            </w:r>
          </w:p>
        </w:tc>
        <w:tc>
          <w:tcPr>
            <w:tcW w:w="1538"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1,988.28</w:t>
            </w:r>
          </w:p>
        </w:tc>
        <w:tc>
          <w:tcPr>
            <w:tcW w:w="38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b/>
                <w:bCs/>
                <w:color w:val="000000"/>
                <w:kern w:val="0"/>
                <w:sz w:val="22"/>
              </w:rPr>
            </w:pPr>
            <w:r>
              <w:rPr>
                <w:rFonts w:ascii="宋体" w:hAnsi="宋体" w:cs="Arial" w:hint="eastAsia"/>
                <w:b/>
                <w:bCs/>
                <w:color w:val="000000"/>
                <w:kern w:val="0"/>
                <w:sz w:val="22"/>
              </w:rPr>
              <w:t>总计</w:t>
            </w:r>
          </w:p>
        </w:tc>
        <w:tc>
          <w:tcPr>
            <w:tcW w:w="47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54</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1,988.28</w:t>
            </w:r>
          </w:p>
        </w:tc>
        <w:tc>
          <w:tcPr>
            <w:tcW w:w="153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1,988.28</w:t>
            </w:r>
          </w:p>
        </w:tc>
        <w:tc>
          <w:tcPr>
            <w:tcW w:w="16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664"/>
        </w:trPr>
        <w:tc>
          <w:tcPr>
            <w:tcW w:w="14174" w:type="dxa"/>
            <w:gridSpan w:val="8"/>
            <w:tcBorders>
              <w:top w:val="nil"/>
              <w:left w:val="nil"/>
              <w:bottom w:val="nil"/>
              <w:right w:val="nil"/>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注：本表反映部门本年度一般公共预算财政拨款和政府性基金预算财政拨款的总收支和年末结转结余情况。本表金额转换为万元时，因四舍五入可能存在尾差。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p>
    <w:tbl>
      <w:tblPr>
        <w:tblW w:w="14174" w:type="dxa"/>
        <w:tblLayout w:type="fixed"/>
        <w:tblLook w:val="04A0" w:firstRow="1" w:lastRow="0" w:firstColumn="1" w:lastColumn="0" w:noHBand="0" w:noVBand="1"/>
      </w:tblPr>
      <w:tblGrid>
        <w:gridCol w:w="329"/>
        <w:gridCol w:w="329"/>
        <w:gridCol w:w="329"/>
        <w:gridCol w:w="3956"/>
        <w:gridCol w:w="4716"/>
        <w:gridCol w:w="2122"/>
        <w:gridCol w:w="2393"/>
      </w:tblGrid>
      <w:tr w:rsidR="00A81FCD">
        <w:trPr>
          <w:trHeight w:val="390"/>
        </w:trPr>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lastRenderedPageBreak/>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9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716" w:type="dxa"/>
            <w:tcBorders>
              <w:top w:val="nil"/>
              <w:left w:val="nil"/>
              <w:bottom w:val="nil"/>
              <w:right w:val="nil"/>
            </w:tcBorders>
            <w:shd w:val="clear" w:color="000000" w:fill="FFFFFF"/>
            <w:vAlign w:val="bottom"/>
          </w:tcPr>
          <w:p w:rsidR="00A81FCD" w:rsidRDefault="00B91A50">
            <w:pPr>
              <w:widowControl/>
              <w:jc w:val="center"/>
              <w:rPr>
                <w:rFonts w:ascii="宋体" w:hAnsi="宋体" w:cs="Arial"/>
                <w:color w:val="000000"/>
                <w:kern w:val="0"/>
                <w:sz w:val="30"/>
                <w:szCs w:val="30"/>
              </w:rPr>
            </w:pPr>
            <w:r>
              <w:rPr>
                <w:rFonts w:ascii="宋体" w:hAnsi="宋体" w:cs="Arial" w:hint="eastAsia"/>
                <w:color w:val="000000"/>
                <w:kern w:val="0"/>
                <w:sz w:val="30"/>
                <w:szCs w:val="30"/>
              </w:rPr>
              <w:t>一般公共预算财政拨款支出决算表</w:t>
            </w:r>
          </w:p>
        </w:tc>
        <w:tc>
          <w:tcPr>
            <w:tcW w:w="2122"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393"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r>
      <w:tr w:rsidR="00A81FCD">
        <w:trPr>
          <w:trHeight w:val="255"/>
        </w:trPr>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29"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395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7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122"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393"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05</w:t>
            </w:r>
            <w:r>
              <w:rPr>
                <w:rFonts w:ascii="宋体" w:hAnsi="宋体" w:cs="Arial" w:hint="eastAsia"/>
                <w:color w:val="000000"/>
                <w:kern w:val="0"/>
                <w:sz w:val="20"/>
                <w:szCs w:val="20"/>
              </w:rPr>
              <w:t>表</w:t>
            </w:r>
          </w:p>
        </w:tc>
      </w:tr>
      <w:tr w:rsidR="00A81FCD">
        <w:trPr>
          <w:trHeight w:val="255"/>
        </w:trPr>
        <w:tc>
          <w:tcPr>
            <w:tcW w:w="4943" w:type="dxa"/>
            <w:gridSpan w:val="4"/>
            <w:tcBorders>
              <w:top w:val="nil"/>
              <w:left w:val="nil"/>
              <w:bottom w:val="nil"/>
              <w:right w:val="nil"/>
            </w:tcBorders>
            <w:shd w:val="clear" w:color="000000" w:fill="FFFFFF"/>
            <w:vAlign w:val="bottom"/>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部门：封丘县人民检察院</w:t>
            </w:r>
          </w:p>
        </w:tc>
        <w:tc>
          <w:tcPr>
            <w:tcW w:w="471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122"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393" w:type="dxa"/>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A81FCD">
        <w:trPr>
          <w:trHeight w:val="308"/>
        </w:trPr>
        <w:tc>
          <w:tcPr>
            <w:tcW w:w="4943" w:type="dxa"/>
            <w:gridSpan w:val="4"/>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w:t>
            </w:r>
          </w:p>
        </w:tc>
        <w:tc>
          <w:tcPr>
            <w:tcW w:w="9231" w:type="dxa"/>
            <w:gridSpan w:val="3"/>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本年支出</w:t>
            </w:r>
          </w:p>
        </w:tc>
      </w:tr>
      <w:tr w:rsidR="00A81FCD">
        <w:trPr>
          <w:trHeight w:val="312"/>
        </w:trPr>
        <w:tc>
          <w:tcPr>
            <w:tcW w:w="987" w:type="dxa"/>
            <w:gridSpan w:val="3"/>
            <w:vMerge w:val="restart"/>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功能分类科目编码</w:t>
            </w:r>
          </w:p>
        </w:tc>
        <w:tc>
          <w:tcPr>
            <w:tcW w:w="395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科目名称</w:t>
            </w:r>
          </w:p>
        </w:tc>
        <w:tc>
          <w:tcPr>
            <w:tcW w:w="471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小计</w:t>
            </w:r>
          </w:p>
        </w:tc>
        <w:tc>
          <w:tcPr>
            <w:tcW w:w="2122"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基本支出</w:t>
            </w:r>
          </w:p>
        </w:tc>
        <w:tc>
          <w:tcPr>
            <w:tcW w:w="2393"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项目支出</w:t>
            </w:r>
          </w:p>
        </w:tc>
      </w:tr>
      <w:tr w:rsidR="00A81FCD">
        <w:trPr>
          <w:trHeight w:val="312"/>
        </w:trPr>
        <w:tc>
          <w:tcPr>
            <w:tcW w:w="987" w:type="dxa"/>
            <w:gridSpan w:val="3"/>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95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471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2122"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2393"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12"/>
        </w:trPr>
        <w:tc>
          <w:tcPr>
            <w:tcW w:w="987" w:type="dxa"/>
            <w:gridSpan w:val="3"/>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395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471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2122"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2393"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trHeight w:val="308"/>
        </w:trPr>
        <w:tc>
          <w:tcPr>
            <w:tcW w:w="4943" w:type="dxa"/>
            <w:gridSpan w:val="4"/>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栏次</w:t>
            </w:r>
          </w:p>
        </w:tc>
        <w:tc>
          <w:tcPr>
            <w:tcW w:w="47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2122"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2393"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r>
      <w:tr w:rsidR="00A81FCD">
        <w:trPr>
          <w:trHeight w:val="308"/>
        </w:trPr>
        <w:tc>
          <w:tcPr>
            <w:tcW w:w="4943" w:type="dxa"/>
            <w:gridSpan w:val="4"/>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合计</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1,866.90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1,583.65</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b/>
                <w:bCs/>
                <w:color w:val="000000"/>
                <w:kern w:val="0"/>
                <w:sz w:val="22"/>
              </w:rPr>
            </w:pPr>
            <w:r>
              <w:rPr>
                <w:rFonts w:ascii="宋体" w:hAnsi="宋体" w:cs="Arial" w:hint="eastAsia"/>
                <w:b/>
                <w:bCs/>
                <w:color w:val="000000"/>
                <w:kern w:val="0"/>
                <w:sz w:val="22"/>
              </w:rPr>
              <w:t>283.25</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一般公共服务支出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其他一般公共服务支出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2019999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其他一般公共服务支出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3.00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公共安全支出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1,461.69</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283.25</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检察</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1,744.94</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1,461.69</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283.25</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行政运行</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1,197.54</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1,197.54</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2040402</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一般行政管理事务</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227.13</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227.13</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2040404</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查办和预防职务犯罪</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40.00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2040499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其他检察支出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280.28</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264.15</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16.12</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社会保障和就业支出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89.53</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行政事业单位离退休</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87.25</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87.25</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归口管理的行政单位离退休</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0.90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0.90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2080505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机关事业单位基本养老保险缴费支出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86.35</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86.35</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20899</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其他社会保障和就业支出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2089901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其他社会保障和就业支出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2.28</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lastRenderedPageBreak/>
              <w:t>210</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医疗卫生与计划生育支出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21011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行政事业单位医疗</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2101101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行政单位医疗</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28.73</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213</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农林水支出</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21305</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扶贫</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987" w:type="dxa"/>
            <w:gridSpan w:val="3"/>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2130501</w:t>
            </w:r>
          </w:p>
        </w:tc>
        <w:tc>
          <w:tcPr>
            <w:tcW w:w="395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 xml:space="preserve">  </w:t>
            </w:r>
            <w:r>
              <w:rPr>
                <w:rFonts w:ascii="宋体" w:hAnsi="宋体" w:cs="Arial" w:hint="eastAsia"/>
                <w:color w:val="000000"/>
                <w:kern w:val="0"/>
                <w:sz w:val="22"/>
              </w:rPr>
              <w:t>行政运行</w:t>
            </w:r>
          </w:p>
        </w:tc>
        <w:tc>
          <w:tcPr>
            <w:tcW w:w="4716"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2122"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0.70</w:t>
            </w:r>
          </w:p>
        </w:tc>
        <w:tc>
          <w:tcPr>
            <w:tcW w:w="239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trHeight w:val="308"/>
        </w:trPr>
        <w:tc>
          <w:tcPr>
            <w:tcW w:w="14174" w:type="dxa"/>
            <w:gridSpan w:val="7"/>
            <w:tcBorders>
              <w:top w:val="nil"/>
              <w:left w:val="nil"/>
              <w:bottom w:val="nil"/>
              <w:right w:val="nil"/>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注：本表反映部门本年度一般公共预算财政拨款支出情况。本表金额转换为万元时，因四舍五入可能存在尾差。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p>
    <w:tbl>
      <w:tblPr>
        <w:tblW w:w="14174" w:type="dxa"/>
        <w:tblLayout w:type="fixed"/>
        <w:tblLook w:val="04A0" w:firstRow="1" w:lastRow="0" w:firstColumn="1" w:lastColumn="0" w:noHBand="0" w:noVBand="1"/>
      </w:tblPr>
      <w:tblGrid>
        <w:gridCol w:w="630"/>
        <w:gridCol w:w="182"/>
        <w:gridCol w:w="2416"/>
        <w:gridCol w:w="99"/>
        <w:gridCol w:w="1176"/>
        <w:gridCol w:w="547"/>
        <w:gridCol w:w="303"/>
        <w:gridCol w:w="2551"/>
        <w:gridCol w:w="989"/>
        <w:gridCol w:w="490"/>
        <w:gridCol w:w="357"/>
        <w:gridCol w:w="74"/>
        <w:gridCol w:w="1468"/>
        <w:gridCol w:w="1639"/>
        <w:gridCol w:w="1253"/>
      </w:tblGrid>
      <w:tr w:rsidR="00A81FCD">
        <w:trPr>
          <w:trHeight w:val="390"/>
        </w:trPr>
        <w:tc>
          <w:tcPr>
            <w:tcW w:w="630"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2697" w:type="dxa"/>
            <w:gridSpan w:val="3"/>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17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547"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333" w:type="dxa"/>
            <w:gridSpan w:val="4"/>
            <w:tcBorders>
              <w:top w:val="nil"/>
              <w:left w:val="nil"/>
              <w:bottom w:val="nil"/>
              <w:right w:val="nil"/>
            </w:tcBorders>
            <w:shd w:val="clear" w:color="auto" w:fill="auto"/>
            <w:vAlign w:val="bottom"/>
          </w:tcPr>
          <w:p w:rsidR="00A81FCD" w:rsidRDefault="00B91A50">
            <w:pPr>
              <w:widowControl/>
              <w:jc w:val="center"/>
              <w:rPr>
                <w:rFonts w:ascii="宋体" w:hAnsi="宋体" w:cs="Arial"/>
                <w:color w:val="000000"/>
                <w:kern w:val="0"/>
                <w:sz w:val="30"/>
                <w:szCs w:val="30"/>
              </w:rPr>
            </w:pPr>
            <w:r>
              <w:rPr>
                <w:rFonts w:ascii="宋体" w:hAnsi="宋体" w:cs="Arial" w:hint="eastAsia"/>
                <w:color w:val="000000"/>
                <w:kern w:val="0"/>
                <w:sz w:val="30"/>
                <w:szCs w:val="30"/>
              </w:rPr>
              <w:t>一般公共预算财政拨款基本支出决算表</w:t>
            </w:r>
          </w:p>
        </w:tc>
        <w:tc>
          <w:tcPr>
            <w:tcW w:w="431" w:type="dxa"/>
            <w:gridSpan w:val="2"/>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68"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253"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r>
      <w:tr w:rsidR="00A81FCD">
        <w:trPr>
          <w:trHeight w:val="300"/>
        </w:trPr>
        <w:tc>
          <w:tcPr>
            <w:tcW w:w="630"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2697" w:type="dxa"/>
            <w:gridSpan w:val="3"/>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17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547"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333" w:type="dxa"/>
            <w:gridSpan w:val="4"/>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31" w:type="dxa"/>
            <w:gridSpan w:val="2"/>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68"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253" w:type="dxa"/>
            <w:tcBorders>
              <w:top w:val="nil"/>
              <w:left w:val="nil"/>
              <w:bottom w:val="nil"/>
              <w:right w:val="nil"/>
            </w:tcBorders>
            <w:shd w:val="clear" w:color="auto" w:fill="auto"/>
            <w:vAlign w:val="bottom"/>
          </w:tcPr>
          <w:p w:rsidR="00A81FCD" w:rsidRDefault="00B91A50">
            <w:pPr>
              <w:widowControl/>
              <w:jc w:val="right"/>
              <w:rPr>
                <w:rFonts w:ascii="宋体" w:hAnsi="宋体" w:cs="Arial"/>
                <w:color w:val="000000"/>
                <w:kern w:val="0"/>
                <w:sz w:val="24"/>
                <w:szCs w:val="24"/>
              </w:rPr>
            </w:pPr>
            <w:r>
              <w:rPr>
                <w:rFonts w:ascii="宋体" w:hAnsi="宋体" w:cs="Arial" w:hint="eastAsia"/>
                <w:color w:val="000000"/>
                <w:kern w:val="0"/>
                <w:sz w:val="24"/>
                <w:szCs w:val="24"/>
              </w:rPr>
              <w:t>公开</w:t>
            </w:r>
            <w:r>
              <w:rPr>
                <w:rFonts w:ascii="宋体" w:hAnsi="宋体" w:cs="Arial" w:hint="eastAsia"/>
                <w:color w:val="000000"/>
                <w:kern w:val="0"/>
                <w:sz w:val="24"/>
                <w:szCs w:val="24"/>
              </w:rPr>
              <w:t>06</w:t>
            </w:r>
            <w:r>
              <w:rPr>
                <w:rFonts w:ascii="宋体" w:hAnsi="宋体" w:cs="Arial" w:hint="eastAsia"/>
                <w:color w:val="000000"/>
                <w:kern w:val="0"/>
                <w:sz w:val="24"/>
                <w:szCs w:val="24"/>
              </w:rPr>
              <w:t>表</w:t>
            </w:r>
          </w:p>
        </w:tc>
      </w:tr>
      <w:tr w:rsidR="00A81FCD">
        <w:trPr>
          <w:trHeight w:val="255"/>
        </w:trPr>
        <w:tc>
          <w:tcPr>
            <w:tcW w:w="3327" w:type="dxa"/>
            <w:gridSpan w:val="4"/>
            <w:tcBorders>
              <w:top w:val="nil"/>
              <w:left w:val="nil"/>
              <w:bottom w:val="nil"/>
              <w:right w:val="nil"/>
            </w:tcBorders>
            <w:shd w:val="clear" w:color="auto" w:fill="auto"/>
            <w:vAlign w:val="bottom"/>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部门：封丘县人民检察院</w:t>
            </w:r>
          </w:p>
        </w:tc>
        <w:tc>
          <w:tcPr>
            <w:tcW w:w="1176"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547"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333" w:type="dxa"/>
            <w:gridSpan w:val="4"/>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431" w:type="dxa"/>
            <w:gridSpan w:val="2"/>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468"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639" w:type="dxa"/>
            <w:tcBorders>
              <w:top w:val="nil"/>
              <w:left w:val="nil"/>
              <w:bottom w:val="nil"/>
              <w:right w:val="nil"/>
            </w:tcBorders>
            <w:shd w:val="clear" w:color="auto" w:fill="auto"/>
            <w:vAlign w:val="bottom"/>
          </w:tcPr>
          <w:p w:rsidR="00A81FCD" w:rsidRDefault="00A81FCD">
            <w:pPr>
              <w:widowControl/>
              <w:jc w:val="left"/>
              <w:rPr>
                <w:rFonts w:ascii="Arial" w:hAnsi="Arial" w:cs="Arial"/>
                <w:color w:val="000000"/>
                <w:kern w:val="0"/>
                <w:sz w:val="20"/>
                <w:szCs w:val="20"/>
              </w:rPr>
            </w:pPr>
          </w:p>
        </w:tc>
        <w:tc>
          <w:tcPr>
            <w:tcW w:w="1253" w:type="dxa"/>
            <w:tcBorders>
              <w:top w:val="nil"/>
              <w:left w:val="nil"/>
              <w:bottom w:val="nil"/>
              <w:right w:val="nil"/>
            </w:tcBorders>
            <w:shd w:val="clear" w:color="auto" w:fill="auto"/>
            <w:vAlign w:val="bottom"/>
          </w:tcPr>
          <w:p w:rsidR="00A81FCD" w:rsidRDefault="00B91A50">
            <w:pPr>
              <w:widowControl/>
              <w:jc w:val="right"/>
              <w:rPr>
                <w:rFonts w:ascii="宋体" w:hAnsi="宋体" w:cs="Arial"/>
                <w:color w:val="000000"/>
                <w:kern w:val="0"/>
                <w:sz w:val="18"/>
                <w:szCs w:val="18"/>
              </w:rPr>
            </w:pPr>
            <w:r>
              <w:rPr>
                <w:rFonts w:ascii="宋体" w:hAnsi="宋体" w:cs="Arial" w:hint="eastAsia"/>
                <w:color w:val="000000"/>
                <w:kern w:val="0"/>
                <w:sz w:val="18"/>
                <w:szCs w:val="18"/>
              </w:rPr>
              <w:t>金额单位：万元</w:t>
            </w:r>
          </w:p>
        </w:tc>
      </w:tr>
      <w:tr w:rsidR="00A81FCD">
        <w:trPr>
          <w:trHeight w:val="308"/>
        </w:trPr>
        <w:tc>
          <w:tcPr>
            <w:tcW w:w="4503" w:type="dxa"/>
            <w:gridSpan w:val="5"/>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人员经费</w:t>
            </w:r>
          </w:p>
        </w:tc>
        <w:tc>
          <w:tcPr>
            <w:tcW w:w="9671" w:type="dxa"/>
            <w:gridSpan w:val="10"/>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公用经费</w:t>
            </w:r>
          </w:p>
        </w:tc>
      </w:tr>
      <w:tr w:rsidR="00A81FCD">
        <w:trPr>
          <w:trHeight w:val="312"/>
        </w:trPr>
        <w:tc>
          <w:tcPr>
            <w:tcW w:w="812" w:type="dxa"/>
            <w:gridSpan w:val="2"/>
            <w:vMerge w:val="restart"/>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科目编码</w:t>
            </w:r>
          </w:p>
        </w:tc>
        <w:tc>
          <w:tcPr>
            <w:tcW w:w="2416"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科目名称</w:t>
            </w:r>
          </w:p>
        </w:tc>
        <w:tc>
          <w:tcPr>
            <w:tcW w:w="1275" w:type="dxa"/>
            <w:gridSpan w:val="2"/>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决算数</w:t>
            </w:r>
          </w:p>
        </w:tc>
        <w:tc>
          <w:tcPr>
            <w:tcW w:w="850" w:type="dxa"/>
            <w:gridSpan w:val="2"/>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科目</w:t>
            </w:r>
            <w:r>
              <w:rPr>
                <w:rFonts w:ascii="宋体" w:hAnsi="宋体" w:cs="Arial" w:hint="eastAsia"/>
                <w:color w:val="000000"/>
                <w:kern w:val="0"/>
                <w:sz w:val="20"/>
                <w:szCs w:val="20"/>
              </w:rPr>
              <w:t xml:space="preserve"> </w:t>
            </w:r>
            <w:r>
              <w:rPr>
                <w:rFonts w:ascii="宋体" w:hAnsi="宋体" w:cs="Arial" w:hint="eastAsia"/>
                <w:color w:val="000000"/>
                <w:kern w:val="0"/>
                <w:sz w:val="20"/>
                <w:szCs w:val="20"/>
              </w:rPr>
              <w:t>编码</w:t>
            </w:r>
          </w:p>
        </w:tc>
        <w:tc>
          <w:tcPr>
            <w:tcW w:w="2551"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科目名称</w:t>
            </w:r>
          </w:p>
        </w:tc>
        <w:tc>
          <w:tcPr>
            <w:tcW w:w="989"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决算数</w:t>
            </w:r>
          </w:p>
        </w:tc>
        <w:tc>
          <w:tcPr>
            <w:tcW w:w="847" w:type="dxa"/>
            <w:gridSpan w:val="2"/>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科目</w:t>
            </w:r>
            <w:r>
              <w:rPr>
                <w:rFonts w:ascii="宋体" w:hAnsi="宋体" w:cs="Arial" w:hint="eastAsia"/>
                <w:color w:val="000000"/>
                <w:kern w:val="0"/>
                <w:sz w:val="20"/>
                <w:szCs w:val="20"/>
              </w:rPr>
              <w:t xml:space="preserve"> </w:t>
            </w:r>
            <w:r>
              <w:rPr>
                <w:rFonts w:ascii="宋体" w:hAnsi="宋体" w:cs="Arial" w:hint="eastAsia"/>
                <w:color w:val="000000"/>
                <w:kern w:val="0"/>
                <w:sz w:val="20"/>
                <w:szCs w:val="20"/>
              </w:rPr>
              <w:t>编码</w:t>
            </w:r>
          </w:p>
        </w:tc>
        <w:tc>
          <w:tcPr>
            <w:tcW w:w="3181" w:type="dxa"/>
            <w:gridSpan w:val="3"/>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科目名称</w:t>
            </w:r>
          </w:p>
        </w:tc>
        <w:tc>
          <w:tcPr>
            <w:tcW w:w="1253"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决算数</w:t>
            </w:r>
          </w:p>
        </w:tc>
      </w:tr>
      <w:tr w:rsidR="00A81FCD">
        <w:trPr>
          <w:trHeight w:val="312"/>
        </w:trPr>
        <w:tc>
          <w:tcPr>
            <w:tcW w:w="812" w:type="dxa"/>
            <w:gridSpan w:val="2"/>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2416"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1275" w:type="dxa"/>
            <w:gridSpan w:val="2"/>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850" w:type="dxa"/>
            <w:gridSpan w:val="2"/>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2551"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989"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847" w:type="dxa"/>
            <w:gridSpan w:val="2"/>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3181" w:type="dxa"/>
            <w:gridSpan w:val="3"/>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c>
          <w:tcPr>
            <w:tcW w:w="1253"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0"/>
                <w:szCs w:val="20"/>
              </w:rPr>
            </w:pP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工资福利支出</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1,030.04</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商品和服务支出</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374.06</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307</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债务利息及费用支出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30101</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基本工资</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340.95</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30201</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办公费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96.08</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30701</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国内债务付息</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30102</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津贴补贴</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215.99</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30202</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印刷费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1.76</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30702</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国外债务付息</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30103</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奖金</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163.71</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30203</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咨询费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资本性支出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142.38</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30106</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伙食补助费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17.86</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30204</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手续费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0.07</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31001</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房屋建筑物购建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30107</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绩效工资</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36.30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30205</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水费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2.97</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31002</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办公设备购置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15.32</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30108</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机关事业单位基本养老保险缴费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87.34</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30206</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电费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22.00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31003</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专用设备购置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0.12</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30109</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职业年金缴费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30207</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邮电费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4.22</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31005</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基础设施建设</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30110</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职工基本医疗保险缴费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29.29</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30208</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取暖费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33.66</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31006</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大型修缮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30111</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公务员医疗补助缴费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30209</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物业管理费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0.40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31007</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信息网络及软件购置更新</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126.95</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30112</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其他社会保障缴费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26.70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30211</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差旅费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44.40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31008</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物资储备</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30113</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住房公积金</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0.62</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30212</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因公出国（境）费用</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31009</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土地补偿</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30114</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医疗费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0.04</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30213</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维修（护）费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57.25</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31010</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安置补助</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30199</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其他工资福利支出</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111.24</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30214</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租赁费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0.92</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31011</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地上附着物和青苗补偿</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对个人和家庭的补助</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37.17</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30215</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会议费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31012</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拆迁补偿</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lastRenderedPageBreak/>
              <w:t>30301</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离休费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30216</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培训费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4.54</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31013</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公务用车购置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30302</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退休费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7.19</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30217</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公务接待费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31019</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其他交通工具购置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30303</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退职（役）费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30218</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专用材料费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4.90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31021</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文物和陈列品购置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30304</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抚恤金</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18.49</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30224</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被装购置费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31022</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无形资产购置</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30305</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生活补助</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4.99</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30225</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专用燃料费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31099</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其他资本性支出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30306</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救济费</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30226</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劳务费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12.60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399</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其他支出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30307</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医疗费补助</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30227</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委托业务费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4.77</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39906</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赠与</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30308</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助学金</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30228</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工会经费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7.21</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39907</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国家赔偿费用支出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30309</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奖励金</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30229</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福利费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12.95</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39908</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对民间非营利组织和群众性自治组织补贴</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30310</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个人农业生产补贴</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30231</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公务用车运行维护费</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27.31</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39999</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其他支出</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30399</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其他对个人和家庭的补助支出</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6.50</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30239</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其他交通费用</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30240</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税金及附加费用</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0.00</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r w:rsidR="00A81FCD">
        <w:trPr>
          <w:trHeight w:val="308"/>
        </w:trPr>
        <w:tc>
          <w:tcPr>
            <w:tcW w:w="812" w:type="dxa"/>
            <w:gridSpan w:val="2"/>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2416"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850"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30299</w:t>
            </w:r>
          </w:p>
        </w:tc>
        <w:tc>
          <w:tcPr>
            <w:tcW w:w="2551"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hint="eastAsia"/>
                <w:color w:val="000000"/>
                <w:kern w:val="0"/>
                <w:sz w:val="20"/>
                <w:szCs w:val="20"/>
              </w:rPr>
              <w:t>其他商品和服务支出</w:t>
            </w:r>
          </w:p>
        </w:tc>
        <w:tc>
          <w:tcPr>
            <w:tcW w:w="989"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36.07</w:t>
            </w:r>
          </w:p>
        </w:tc>
        <w:tc>
          <w:tcPr>
            <w:tcW w:w="8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3181"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left"/>
              <w:rPr>
                <w:rFonts w:ascii="宋体" w:hAnsi="宋体" w:cs="Arial"/>
                <w:color w:val="000000"/>
                <w:kern w:val="0"/>
                <w:sz w:val="20"/>
                <w:szCs w:val="20"/>
              </w:rPr>
            </w:pPr>
            <w:r>
              <w:rPr>
                <w:rFonts w:ascii="宋体" w:hAnsi="宋体" w:cs="Arial" w:hint="eastAsia"/>
                <w:color w:val="000000"/>
                <w:kern w:val="0"/>
                <w:sz w:val="20"/>
                <w:szCs w:val="20"/>
              </w:rPr>
              <w:t xml:space="preserve">　</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 xml:space="preserve">　</w:t>
            </w:r>
          </w:p>
        </w:tc>
      </w:tr>
      <w:tr w:rsidR="00A81FCD">
        <w:trPr>
          <w:trHeight w:val="308"/>
        </w:trPr>
        <w:tc>
          <w:tcPr>
            <w:tcW w:w="3228" w:type="dxa"/>
            <w:gridSpan w:val="3"/>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人员经费合计</w:t>
            </w:r>
          </w:p>
        </w:tc>
        <w:tc>
          <w:tcPr>
            <w:tcW w:w="1275"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1,067.21</w:t>
            </w:r>
          </w:p>
        </w:tc>
        <w:tc>
          <w:tcPr>
            <w:tcW w:w="8418" w:type="dxa"/>
            <w:gridSpan w:val="9"/>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0"/>
                <w:szCs w:val="20"/>
              </w:rPr>
            </w:pPr>
            <w:r>
              <w:rPr>
                <w:rFonts w:ascii="宋体" w:hAnsi="宋体" w:cs="Arial" w:hint="eastAsia"/>
                <w:color w:val="000000"/>
                <w:kern w:val="0"/>
                <w:sz w:val="20"/>
                <w:szCs w:val="20"/>
              </w:rPr>
              <w:t>公用经费合计</w:t>
            </w:r>
          </w:p>
        </w:tc>
        <w:tc>
          <w:tcPr>
            <w:tcW w:w="1253"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516.44</w:t>
            </w:r>
          </w:p>
        </w:tc>
      </w:tr>
      <w:tr w:rsidR="00A81FCD">
        <w:trPr>
          <w:trHeight w:val="308"/>
        </w:trPr>
        <w:tc>
          <w:tcPr>
            <w:tcW w:w="14174" w:type="dxa"/>
            <w:gridSpan w:val="15"/>
            <w:tcBorders>
              <w:top w:val="nil"/>
              <w:left w:val="nil"/>
              <w:bottom w:val="nil"/>
              <w:right w:val="nil"/>
            </w:tcBorders>
            <w:shd w:val="clear" w:color="auto" w:fill="auto"/>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注：本表反映部门本年度一般公共预算财政拨款基本支出明细情况。本表金额转换为万元时，因四舍五入可能存在尾差。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p>
    <w:tbl>
      <w:tblPr>
        <w:tblW w:w="14229" w:type="dxa"/>
        <w:tblLayout w:type="fixed"/>
        <w:tblLook w:val="04A0" w:firstRow="1" w:lastRow="0" w:firstColumn="1" w:lastColumn="0" w:noHBand="0" w:noVBand="1"/>
      </w:tblPr>
      <w:tblGrid>
        <w:gridCol w:w="884"/>
        <w:gridCol w:w="884"/>
        <w:gridCol w:w="587"/>
        <w:gridCol w:w="511"/>
        <w:gridCol w:w="50"/>
        <w:gridCol w:w="537"/>
        <w:gridCol w:w="521"/>
        <w:gridCol w:w="1155"/>
        <w:gridCol w:w="1245"/>
        <w:gridCol w:w="1425"/>
        <w:gridCol w:w="1395"/>
        <w:gridCol w:w="1535"/>
        <w:gridCol w:w="236"/>
        <w:gridCol w:w="1011"/>
        <w:gridCol w:w="240"/>
        <w:gridCol w:w="860"/>
        <w:gridCol w:w="43"/>
        <w:gridCol w:w="870"/>
        <w:gridCol w:w="240"/>
      </w:tblGrid>
      <w:tr w:rsidR="00A81FCD">
        <w:trPr>
          <w:gridAfter w:val="1"/>
          <w:wAfter w:w="236" w:type="dxa"/>
          <w:trHeight w:val="540"/>
        </w:trPr>
        <w:tc>
          <w:tcPr>
            <w:tcW w:w="13993" w:type="dxa"/>
            <w:gridSpan w:val="18"/>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lastRenderedPageBreak/>
              <w:t xml:space="preserve">　</w:t>
            </w:r>
          </w:p>
          <w:p w:rsidR="00A81FCD" w:rsidRDefault="00A81FCD">
            <w:pPr>
              <w:widowControl/>
              <w:jc w:val="left"/>
              <w:rPr>
                <w:rFonts w:ascii="Arial" w:hAnsi="Arial" w:cs="Arial"/>
                <w:color w:val="000000"/>
                <w:kern w:val="0"/>
                <w:sz w:val="20"/>
                <w:szCs w:val="20"/>
              </w:rPr>
            </w:pPr>
          </w:p>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p w:rsidR="00A81FCD" w:rsidRDefault="00B91A50">
            <w:pPr>
              <w:widowControl/>
              <w:jc w:val="center"/>
              <w:rPr>
                <w:rFonts w:ascii="Arial" w:hAnsi="Arial" w:cs="Arial"/>
                <w:color w:val="000000"/>
                <w:kern w:val="0"/>
                <w:sz w:val="20"/>
                <w:szCs w:val="20"/>
              </w:rPr>
            </w:pPr>
            <w:r>
              <w:rPr>
                <w:rFonts w:ascii="宋体" w:hAnsi="宋体" w:cs="Arial" w:hint="eastAsia"/>
                <w:color w:val="000000"/>
                <w:kern w:val="0"/>
                <w:sz w:val="44"/>
                <w:szCs w:val="44"/>
              </w:rPr>
              <w:t>一般公共预算财政拨款“三公”经费支出决算表</w:t>
            </w:r>
          </w:p>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r>
      <w:tr w:rsidR="00A81FCD">
        <w:trPr>
          <w:trHeight w:val="255"/>
        </w:trPr>
        <w:tc>
          <w:tcPr>
            <w:tcW w:w="885"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885"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588"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512"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587" w:type="dxa"/>
            <w:gridSpan w:val="2"/>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921" w:type="dxa"/>
            <w:gridSpan w:val="3"/>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355" w:type="dxa"/>
            <w:gridSpan w:val="3"/>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3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007"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4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86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153" w:type="dxa"/>
            <w:gridSpan w:val="3"/>
            <w:tcBorders>
              <w:top w:val="nil"/>
              <w:left w:val="nil"/>
              <w:bottom w:val="nil"/>
              <w:right w:val="nil"/>
            </w:tcBorders>
            <w:shd w:val="clear" w:color="000000" w:fill="FFFFFF"/>
            <w:vAlign w:val="bottom"/>
          </w:tcPr>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公开</w:t>
            </w:r>
            <w:r>
              <w:rPr>
                <w:rFonts w:ascii="宋体" w:hAnsi="宋体" w:cs="Arial" w:hint="eastAsia"/>
                <w:color w:val="000000"/>
                <w:kern w:val="0"/>
                <w:sz w:val="20"/>
                <w:szCs w:val="20"/>
              </w:rPr>
              <w:t>07</w:t>
            </w:r>
            <w:r>
              <w:rPr>
                <w:rFonts w:ascii="宋体" w:hAnsi="宋体" w:cs="Arial" w:hint="eastAsia"/>
                <w:color w:val="000000"/>
                <w:kern w:val="0"/>
                <w:sz w:val="20"/>
                <w:szCs w:val="20"/>
              </w:rPr>
              <w:t>表</w:t>
            </w:r>
          </w:p>
        </w:tc>
      </w:tr>
      <w:tr w:rsidR="00A81FCD">
        <w:trPr>
          <w:trHeight w:val="558"/>
        </w:trPr>
        <w:tc>
          <w:tcPr>
            <w:tcW w:w="3457" w:type="dxa"/>
            <w:gridSpan w:val="6"/>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宋体" w:hAnsi="宋体" w:cs="Arial" w:hint="eastAsia"/>
                <w:color w:val="000000"/>
                <w:kern w:val="0"/>
                <w:sz w:val="20"/>
                <w:szCs w:val="20"/>
              </w:rPr>
              <w:t>部门：封丘县人民检察院</w:t>
            </w:r>
          </w:p>
        </w:tc>
        <w:tc>
          <w:tcPr>
            <w:tcW w:w="2921" w:type="dxa"/>
            <w:gridSpan w:val="3"/>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4355" w:type="dxa"/>
            <w:gridSpan w:val="3"/>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36"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1007"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40" w:type="dxa"/>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tc>
        <w:tc>
          <w:tcPr>
            <w:tcW w:w="2013" w:type="dxa"/>
            <w:gridSpan w:val="4"/>
            <w:tcBorders>
              <w:top w:val="nil"/>
              <w:left w:val="nil"/>
              <w:bottom w:val="nil"/>
              <w:right w:val="nil"/>
            </w:tcBorders>
            <w:shd w:val="clear" w:color="000000" w:fill="FFFFFF"/>
            <w:vAlign w:val="bottom"/>
          </w:tcPr>
          <w:p w:rsidR="00A81FCD" w:rsidRDefault="00B91A50">
            <w:pPr>
              <w:widowControl/>
              <w:jc w:val="left"/>
              <w:rPr>
                <w:rFonts w:ascii="Arial" w:hAnsi="Arial" w:cs="Arial"/>
                <w:color w:val="000000"/>
                <w:kern w:val="0"/>
                <w:sz w:val="20"/>
                <w:szCs w:val="20"/>
              </w:rPr>
            </w:pPr>
            <w:r>
              <w:rPr>
                <w:rFonts w:ascii="Arial" w:hAnsi="Arial" w:cs="Arial"/>
                <w:color w:val="000000"/>
                <w:kern w:val="0"/>
                <w:sz w:val="20"/>
                <w:szCs w:val="20"/>
              </w:rPr>
              <w:t xml:space="preserve">　</w:t>
            </w:r>
          </w:p>
          <w:p w:rsidR="00A81FCD" w:rsidRDefault="00B91A50">
            <w:pPr>
              <w:widowControl/>
              <w:jc w:val="right"/>
              <w:rPr>
                <w:rFonts w:ascii="宋体" w:hAnsi="宋体" w:cs="Arial"/>
                <w:color w:val="000000"/>
                <w:kern w:val="0"/>
                <w:sz w:val="20"/>
                <w:szCs w:val="20"/>
              </w:rPr>
            </w:pPr>
            <w:r>
              <w:rPr>
                <w:rFonts w:ascii="宋体" w:hAnsi="宋体" w:cs="Arial" w:hint="eastAsia"/>
                <w:color w:val="000000"/>
                <w:kern w:val="0"/>
                <w:sz w:val="20"/>
                <w:szCs w:val="20"/>
              </w:rPr>
              <w:t>金额单位：万元</w:t>
            </w:r>
          </w:p>
        </w:tc>
      </w:tr>
      <w:tr w:rsidR="00A81FCD">
        <w:trPr>
          <w:gridAfter w:val="1"/>
          <w:wAfter w:w="236" w:type="dxa"/>
          <w:trHeight w:val="308"/>
        </w:trPr>
        <w:tc>
          <w:tcPr>
            <w:tcW w:w="6378" w:type="dxa"/>
            <w:gridSpan w:val="9"/>
            <w:tcBorders>
              <w:top w:val="single" w:sz="4" w:space="0" w:color="000000"/>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预算数</w:t>
            </w:r>
          </w:p>
        </w:tc>
        <w:tc>
          <w:tcPr>
            <w:tcW w:w="7615" w:type="dxa"/>
            <w:gridSpan w:val="9"/>
            <w:tcBorders>
              <w:top w:val="single" w:sz="4" w:space="0" w:color="000000"/>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决算数</w:t>
            </w:r>
          </w:p>
        </w:tc>
      </w:tr>
      <w:tr w:rsidR="00A81FCD">
        <w:trPr>
          <w:gridAfter w:val="1"/>
          <w:wAfter w:w="236" w:type="dxa"/>
          <w:trHeight w:val="308"/>
        </w:trPr>
        <w:tc>
          <w:tcPr>
            <w:tcW w:w="885" w:type="dxa"/>
            <w:vMerge w:val="restart"/>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合计</w:t>
            </w:r>
          </w:p>
        </w:tc>
        <w:tc>
          <w:tcPr>
            <w:tcW w:w="885"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因公出国（境）费</w:t>
            </w:r>
          </w:p>
        </w:tc>
        <w:tc>
          <w:tcPr>
            <w:tcW w:w="3363" w:type="dxa"/>
            <w:gridSpan w:val="6"/>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公务用车购置及运行费</w:t>
            </w:r>
          </w:p>
        </w:tc>
        <w:tc>
          <w:tcPr>
            <w:tcW w:w="1245"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公务接待费</w:t>
            </w:r>
          </w:p>
        </w:tc>
        <w:tc>
          <w:tcPr>
            <w:tcW w:w="1425"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合计</w:t>
            </w:r>
          </w:p>
        </w:tc>
        <w:tc>
          <w:tcPr>
            <w:tcW w:w="1395" w:type="dxa"/>
            <w:vMerge w:val="restart"/>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因公出国（境）费</w:t>
            </w:r>
          </w:p>
        </w:tc>
        <w:tc>
          <w:tcPr>
            <w:tcW w:w="3925" w:type="dxa"/>
            <w:gridSpan w:val="6"/>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公务用车购置及运行费</w:t>
            </w:r>
          </w:p>
        </w:tc>
        <w:tc>
          <w:tcPr>
            <w:tcW w:w="870" w:type="dxa"/>
            <w:vMerge w:val="restart"/>
            <w:tcBorders>
              <w:top w:val="nil"/>
              <w:left w:val="nil"/>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公务接待费</w:t>
            </w:r>
          </w:p>
        </w:tc>
      </w:tr>
      <w:tr w:rsidR="00A81FCD">
        <w:trPr>
          <w:gridAfter w:val="1"/>
          <w:wAfter w:w="236" w:type="dxa"/>
          <w:trHeight w:val="615"/>
        </w:trPr>
        <w:tc>
          <w:tcPr>
            <w:tcW w:w="885" w:type="dxa"/>
            <w:vMerge/>
            <w:tcBorders>
              <w:top w:val="nil"/>
              <w:left w:val="single" w:sz="4" w:space="0" w:color="000000"/>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885"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150"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小计</w:t>
            </w:r>
          </w:p>
        </w:tc>
        <w:tc>
          <w:tcPr>
            <w:tcW w:w="1058"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公务用车购置费</w:t>
            </w:r>
          </w:p>
        </w:tc>
        <w:tc>
          <w:tcPr>
            <w:tcW w:w="115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公务用车运行费</w:t>
            </w:r>
          </w:p>
        </w:tc>
        <w:tc>
          <w:tcPr>
            <w:tcW w:w="1245"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425"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395" w:type="dxa"/>
            <w:vMerge/>
            <w:tcBorders>
              <w:top w:val="nil"/>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c>
          <w:tcPr>
            <w:tcW w:w="153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小计</w:t>
            </w:r>
          </w:p>
        </w:tc>
        <w:tc>
          <w:tcPr>
            <w:tcW w:w="12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公务用车购置费</w:t>
            </w:r>
          </w:p>
        </w:tc>
        <w:tc>
          <w:tcPr>
            <w:tcW w:w="1143"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公务用车运行费</w:t>
            </w:r>
          </w:p>
        </w:tc>
        <w:tc>
          <w:tcPr>
            <w:tcW w:w="870" w:type="dxa"/>
            <w:vMerge/>
            <w:tcBorders>
              <w:left w:val="nil"/>
              <w:bottom w:val="single" w:sz="4" w:space="0" w:color="000000"/>
              <w:right w:val="single" w:sz="4" w:space="0" w:color="000000"/>
            </w:tcBorders>
            <w:vAlign w:val="center"/>
          </w:tcPr>
          <w:p w:rsidR="00A81FCD" w:rsidRDefault="00A81FCD">
            <w:pPr>
              <w:widowControl/>
              <w:jc w:val="left"/>
              <w:rPr>
                <w:rFonts w:ascii="宋体" w:hAnsi="宋体" w:cs="Arial"/>
                <w:color w:val="000000"/>
                <w:kern w:val="0"/>
                <w:sz w:val="22"/>
              </w:rPr>
            </w:pPr>
          </w:p>
        </w:tc>
      </w:tr>
      <w:tr w:rsidR="00A81FCD">
        <w:trPr>
          <w:gridAfter w:val="1"/>
          <w:wAfter w:w="236" w:type="dxa"/>
          <w:trHeight w:val="308"/>
        </w:trPr>
        <w:tc>
          <w:tcPr>
            <w:tcW w:w="885" w:type="dxa"/>
            <w:tcBorders>
              <w:top w:val="nil"/>
              <w:left w:val="single" w:sz="4" w:space="0" w:color="000000"/>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w:t>
            </w:r>
          </w:p>
        </w:tc>
        <w:tc>
          <w:tcPr>
            <w:tcW w:w="88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2</w:t>
            </w:r>
          </w:p>
        </w:tc>
        <w:tc>
          <w:tcPr>
            <w:tcW w:w="1150"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3</w:t>
            </w:r>
          </w:p>
        </w:tc>
        <w:tc>
          <w:tcPr>
            <w:tcW w:w="1058"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4</w:t>
            </w:r>
          </w:p>
        </w:tc>
        <w:tc>
          <w:tcPr>
            <w:tcW w:w="115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5</w:t>
            </w:r>
          </w:p>
        </w:tc>
        <w:tc>
          <w:tcPr>
            <w:tcW w:w="124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6</w:t>
            </w:r>
          </w:p>
        </w:tc>
        <w:tc>
          <w:tcPr>
            <w:tcW w:w="142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7</w:t>
            </w:r>
          </w:p>
        </w:tc>
        <w:tc>
          <w:tcPr>
            <w:tcW w:w="139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8</w:t>
            </w:r>
          </w:p>
        </w:tc>
        <w:tc>
          <w:tcPr>
            <w:tcW w:w="1535"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9</w:t>
            </w:r>
          </w:p>
        </w:tc>
        <w:tc>
          <w:tcPr>
            <w:tcW w:w="1247" w:type="dxa"/>
            <w:gridSpan w:val="2"/>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10</w:t>
            </w:r>
          </w:p>
        </w:tc>
        <w:tc>
          <w:tcPr>
            <w:tcW w:w="1143" w:type="dxa"/>
            <w:gridSpan w:val="3"/>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11</w:t>
            </w:r>
          </w:p>
        </w:tc>
        <w:tc>
          <w:tcPr>
            <w:tcW w:w="870" w:type="dxa"/>
            <w:tcBorders>
              <w:top w:val="nil"/>
              <w:left w:val="nil"/>
              <w:bottom w:val="single" w:sz="4" w:space="0" w:color="000000"/>
              <w:right w:val="single" w:sz="4" w:space="0" w:color="000000"/>
            </w:tcBorders>
            <w:shd w:val="clear" w:color="FFFFFF" w:fill="FFFFFF"/>
            <w:vAlign w:val="center"/>
          </w:tcPr>
          <w:p w:rsidR="00A81FCD" w:rsidRDefault="00B91A50">
            <w:pPr>
              <w:widowControl/>
              <w:jc w:val="center"/>
              <w:rPr>
                <w:rFonts w:ascii="宋体" w:hAnsi="宋体" w:cs="Arial"/>
                <w:color w:val="000000"/>
                <w:kern w:val="0"/>
                <w:sz w:val="22"/>
              </w:rPr>
            </w:pPr>
            <w:r>
              <w:rPr>
                <w:rFonts w:ascii="宋体" w:hAnsi="宋体" w:cs="Arial" w:hint="eastAsia"/>
                <w:color w:val="000000"/>
                <w:kern w:val="0"/>
                <w:sz w:val="22"/>
              </w:rPr>
              <w:t>12</w:t>
            </w:r>
          </w:p>
        </w:tc>
      </w:tr>
      <w:tr w:rsidR="00A81FCD">
        <w:trPr>
          <w:gridAfter w:val="1"/>
          <w:wAfter w:w="236" w:type="dxa"/>
          <w:trHeight w:val="308"/>
        </w:trPr>
        <w:tc>
          <w:tcPr>
            <w:tcW w:w="885" w:type="dxa"/>
            <w:tcBorders>
              <w:top w:val="nil"/>
              <w:left w:val="single" w:sz="4" w:space="0" w:color="000000"/>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55.00</w:t>
            </w:r>
          </w:p>
        </w:tc>
        <w:tc>
          <w:tcPr>
            <w:tcW w:w="88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50" w:type="dxa"/>
            <w:gridSpan w:val="3"/>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55.00</w:t>
            </w:r>
          </w:p>
        </w:tc>
        <w:tc>
          <w:tcPr>
            <w:tcW w:w="1058"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5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55.00</w:t>
            </w:r>
          </w:p>
        </w:tc>
        <w:tc>
          <w:tcPr>
            <w:tcW w:w="124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42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42.82</w:t>
            </w:r>
          </w:p>
        </w:tc>
        <w:tc>
          <w:tcPr>
            <w:tcW w:w="139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535"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42.82</w:t>
            </w:r>
          </w:p>
        </w:tc>
        <w:tc>
          <w:tcPr>
            <w:tcW w:w="1247" w:type="dxa"/>
            <w:gridSpan w:val="2"/>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c>
          <w:tcPr>
            <w:tcW w:w="1143" w:type="dxa"/>
            <w:gridSpan w:val="3"/>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42.82</w:t>
            </w:r>
          </w:p>
        </w:tc>
        <w:tc>
          <w:tcPr>
            <w:tcW w:w="870" w:type="dxa"/>
            <w:tcBorders>
              <w:top w:val="nil"/>
              <w:left w:val="nil"/>
              <w:bottom w:val="single" w:sz="4" w:space="0" w:color="000000"/>
              <w:right w:val="single" w:sz="4" w:space="0" w:color="000000"/>
            </w:tcBorders>
            <w:shd w:val="clear" w:color="000000" w:fill="FFFFFF"/>
            <w:vAlign w:val="center"/>
          </w:tcPr>
          <w:p w:rsidR="00A81FCD" w:rsidRDefault="00B91A50">
            <w:pPr>
              <w:widowControl/>
              <w:jc w:val="right"/>
              <w:rPr>
                <w:rFonts w:ascii="宋体" w:hAnsi="宋体" w:cs="Arial"/>
                <w:color w:val="000000"/>
                <w:kern w:val="0"/>
                <w:sz w:val="22"/>
              </w:rPr>
            </w:pPr>
            <w:r>
              <w:rPr>
                <w:rFonts w:ascii="宋体" w:hAnsi="宋体" w:cs="Arial" w:hint="eastAsia"/>
                <w:color w:val="000000"/>
                <w:kern w:val="0"/>
                <w:sz w:val="22"/>
              </w:rPr>
              <w:t>0.00</w:t>
            </w:r>
          </w:p>
        </w:tc>
      </w:tr>
      <w:tr w:rsidR="00A81FCD">
        <w:trPr>
          <w:gridAfter w:val="1"/>
          <w:wAfter w:w="236" w:type="dxa"/>
          <w:trHeight w:val="615"/>
        </w:trPr>
        <w:tc>
          <w:tcPr>
            <w:tcW w:w="13993" w:type="dxa"/>
            <w:gridSpan w:val="18"/>
            <w:tcBorders>
              <w:top w:val="nil"/>
              <w:left w:val="nil"/>
              <w:bottom w:val="nil"/>
              <w:right w:val="nil"/>
            </w:tcBorders>
            <w:shd w:val="clear" w:color="000000" w:fill="FFFFFF"/>
            <w:vAlign w:val="center"/>
          </w:tcPr>
          <w:p w:rsidR="00A81FCD" w:rsidRDefault="00B91A50">
            <w:pPr>
              <w:widowControl/>
              <w:jc w:val="left"/>
              <w:rPr>
                <w:rFonts w:ascii="宋体" w:hAnsi="宋体" w:cs="Arial"/>
                <w:color w:val="000000"/>
                <w:kern w:val="0"/>
                <w:sz w:val="22"/>
              </w:rPr>
            </w:pPr>
            <w:r>
              <w:rPr>
                <w:rFonts w:ascii="宋体" w:hAnsi="宋体" w:cs="Arial" w:hint="eastAsia"/>
                <w:color w:val="000000"/>
                <w:kern w:val="0"/>
                <w:sz w:val="22"/>
              </w:rPr>
              <w:t>注：本表反映部门本年度“三公”经费支出预决算情况。其中：预算数为“三公”经费年初预算数，决算数是包括当年一般公共预算财政拨款和以前年度结转资金安排的实际支出。本表金额转换为万元时，因四舍五入可能存在尾差。</w:t>
            </w:r>
          </w:p>
        </w:tc>
      </w:tr>
    </w:tbl>
    <w:p w:rsidR="00A81FCD" w:rsidRDefault="00A81FCD">
      <w:pPr>
        <w:rPr>
          <w:rFonts w:ascii="仿宋_GB2312" w:eastAsia="仿宋_GB2312" w:hAnsi="仿宋_GB2312" w:cs="仿宋_GB2312"/>
          <w:sz w:val="32"/>
          <w:szCs w:val="32"/>
        </w:rPr>
        <w:sectPr w:rsidR="00A81FCD">
          <w:pgSz w:w="16838" w:h="11906" w:orient="landscape"/>
          <w:pgMar w:top="2098" w:right="1474" w:bottom="1984" w:left="1587" w:header="720" w:footer="720" w:gutter="0"/>
          <w:pgNumType w:fmt="numberInDash"/>
          <w:cols w:space="720"/>
          <w:docGrid w:type="lines" w:linePitch="312"/>
        </w:sectPr>
      </w:pPr>
    </w:p>
    <w:tbl>
      <w:tblPr>
        <w:tblW w:w="13988" w:type="dxa"/>
        <w:tblLayout w:type="fixed"/>
        <w:tblCellMar>
          <w:left w:w="0" w:type="dxa"/>
          <w:right w:w="0" w:type="dxa"/>
        </w:tblCellMar>
        <w:tblLook w:val="04A0" w:firstRow="1" w:lastRow="0" w:firstColumn="1" w:lastColumn="0" w:noHBand="0" w:noVBand="1"/>
      </w:tblPr>
      <w:tblGrid>
        <w:gridCol w:w="612"/>
        <w:gridCol w:w="536"/>
        <w:gridCol w:w="1276"/>
        <w:gridCol w:w="1926"/>
        <w:gridCol w:w="1926"/>
        <w:gridCol w:w="1926"/>
        <w:gridCol w:w="1927"/>
        <w:gridCol w:w="1926"/>
        <w:gridCol w:w="1933"/>
      </w:tblGrid>
      <w:tr w:rsidR="00A81FCD">
        <w:trPr>
          <w:trHeight w:val="600"/>
        </w:trPr>
        <w:tc>
          <w:tcPr>
            <w:tcW w:w="13988" w:type="dxa"/>
            <w:gridSpan w:val="9"/>
            <w:tcBorders>
              <w:top w:val="nil"/>
              <w:left w:val="nil"/>
              <w:bottom w:val="nil"/>
              <w:right w:val="nil"/>
            </w:tcBorders>
            <w:shd w:val="clear" w:color="auto" w:fill="FFFFFF"/>
            <w:tcMar>
              <w:top w:w="15" w:type="dxa"/>
              <w:left w:w="15" w:type="dxa"/>
              <w:right w:w="15" w:type="dxa"/>
            </w:tcMar>
            <w:vAlign w:val="center"/>
          </w:tcPr>
          <w:p w:rsidR="00A81FCD" w:rsidRDefault="00B91A50">
            <w:pPr>
              <w:widowControl/>
              <w:jc w:val="center"/>
              <w:textAlignment w:val="center"/>
              <w:rPr>
                <w:rFonts w:ascii="仿宋" w:eastAsia="仿宋" w:hAnsi="仿宋" w:cs="华文中宋"/>
                <w:color w:val="000000"/>
                <w:sz w:val="32"/>
                <w:szCs w:val="32"/>
              </w:rPr>
            </w:pPr>
            <w:r>
              <w:rPr>
                <w:rFonts w:ascii="仿宋" w:eastAsia="仿宋" w:hAnsi="仿宋" w:cs="华文中宋" w:hint="eastAsia"/>
                <w:color w:val="000000"/>
                <w:kern w:val="0"/>
                <w:sz w:val="32"/>
                <w:szCs w:val="32"/>
              </w:rPr>
              <w:lastRenderedPageBreak/>
              <w:t>政府性基金预算财政拨款收入支出决算表</w:t>
            </w:r>
          </w:p>
        </w:tc>
      </w:tr>
      <w:tr w:rsidR="00A81FCD">
        <w:trPr>
          <w:trHeight w:val="222"/>
        </w:trPr>
        <w:tc>
          <w:tcPr>
            <w:tcW w:w="612" w:type="dxa"/>
            <w:tcBorders>
              <w:top w:val="nil"/>
              <w:left w:val="nil"/>
              <w:bottom w:val="nil"/>
              <w:right w:val="nil"/>
            </w:tcBorders>
            <w:shd w:val="clear" w:color="auto" w:fill="FFFFFF"/>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536" w:type="dxa"/>
            <w:tcBorders>
              <w:top w:val="nil"/>
              <w:left w:val="nil"/>
              <w:bottom w:val="nil"/>
              <w:right w:val="nil"/>
            </w:tcBorders>
            <w:shd w:val="clear" w:color="auto" w:fill="FFFFFF"/>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nil"/>
              <w:left w:val="nil"/>
              <w:bottom w:val="nil"/>
              <w:right w:val="nil"/>
            </w:tcBorders>
            <w:shd w:val="clear" w:color="auto" w:fill="FFFFFF"/>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tcBorders>
              <w:top w:val="nil"/>
              <w:left w:val="nil"/>
              <w:bottom w:val="nil"/>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nil"/>
              <w:left w:val="nil"/>
              <w:bottom w:val="nil"/>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nil"/>
              <w:left w:val="nil"/>
              <w:bottom w:val="nil"/>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nil"/>
              <w:left w:val="nil"/>
              <w:bottom w:val="nil"/>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nil"/>
              <w:left w:val="nil"/>
              <w:bottom w:val="nil"/>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nil"/>
              <w:left w:val="nil"/>
              <w:bottom w:val="nil"/>
              <w:right w:val="nil"/>
            </w:tcBorders>
            <w:shd w:val="clear" w:color="auto" w:fill="FFFFFF"/>
            <w:tcMar>
              <w:top w:w="15" w:type="dxa"/>
              <w:left w:w="15" w:type="dxa"/>
              <w:right w:w="15" w:type="dxa"/>
            </w:tcMar>
            <w:vAlign w:val="center"/>
          </w:tcPr>
          <w:p w:rsidR="00A81FCD" w:rsidRDefault="00B91A50">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公开</w:t>
            </w:r>
            <w:r>
              <w:rPr>
                <w:rFonts w:ascii="宋体" w:hAnsi="宋体" w:cs="宋体" w:hint="eastAsia"/>
                <w:color w:val="000000"/>
                <w:kern w:val="0"/>
                <w:sz w:val="20"/>
                <w:szCs w:val="20"/>
              </w:rPr>
              <w:t>08</w:t>
            </w:r>
            <w:r>
              <w:rPr>
                <w:rFonts w:ascii="宋体" w:hAnsi="宋体" w:cs="宋体" w:hint="eastAsia"/>
                <w:color w:val="000000"/>
                <w:kern w:val="0"/>
                <w:sz w:val="20"/>
                <w:szCs w:val="20"/>
              </w:rPr>
              <w:t>表</w:t>
            </w:r>
          </w:p>
        </w:tc>
      </w:tr>
      <w:tr w:rsidR="00A81FCD">
        <w:trPr>
          <w:trHeight w:val="300"/>
        </w:trPr>
        <w:tc>
          <w:tcPr>
            <w:tcW w:w="2424" w:type="dxa"/>
            <w:gridSpan w:val="3"/>
            <w:tcBorders>
              <w:top w:val="nil"/>
              <w:left w:val="nil"/>
              <w:bottom w:val="nil"/>
              <w:right w:val="nil"/>
            </w:tcBorders>
            <w:shd w:val="clear" w:color="auto" w:fill="FFFFFF"/>
            <w:tcMar>
              <w:top w:w="15" w:type="dxa"/>
              <w:left w:w="15" w:type="dxa"/>
              <w:right w:w="15" w:type="dxa"/>
            </w:tcMar>
            <w:vAlign w:val="center"/>
          </w:tcPr>
          <w:p w:rsidR="00A81FCD" w:rsidRDefault="00B91A50">
            <w:pPr>
              <w:jc w:val="center"/>
              <w:rPr>
                <w:rFonts w:ascii="宋体" w:hAnsi="宋体" w:cs="宋体"/>
                <w:color w:val="000000"/>
                <w:sz w:val="20"/>
                <w:szCs w:val="20"/>
              </w:rPr>
            </w:pPr>
            <w:r>
              <w:rPr>
                <w:rFonts w:ascii="宋体" w:hAnsi="宋体" w:cs="宋体" w:hint="eastAsia"/>
                <w:color w:val="000000"/>
                <w:kern w:val="0"/>
                <w:sz w:val="20"/>
                <w:szCs w:val="20"/>
              </w:rPr>
              <w:t>部门：</w:t>
            </w:r>
            <w:r>
              <w:rPr>
                <w:rFonts w:ascii="宋体" w:hAnsi="宋体" w:cs="Arial" w:hint="eastAsia"/>
                <w:color w:val="000000"/>
                <w:kern w:val="0"/>
                <w:sz w:val="20"/>
                <w:szCs w:val="20"/>
              </w:rPr>
              <w:t>封丘县人民检察院</w:t>
            </w:r>
          </w:p>
        </w:tc>
        <w:tc>
          <w:tcPr>
            <w:tcW w:w="1926" w:type="dxa"/>
            <w:tcBorders>
              <w:top w:val="nil"/>
              <w:left w:val="nil"/>
              <w:bottom w:val="single" w:sz="8" w:space="0" w:color="000000"/>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nil"/>
              <w:left w:val="nil"/>
              <w:bottom w:val="single" w:sz="8" w:space="0" w:color="000000"/>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nil"/>
              <w:left w:val="nil"/>
              <w:bottom w:val="single" w:sz="8" w:space="0" w:color="000000"/>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nil"/>
              <w:left w:val="nil"/>
              <w:bottom w:val="single" w:sz="8" w:space="0" w:color="000000"/>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nil"/>
              <w:left w:val="nil"/>
              <w:bottom w:val="nil"/>
              <w:right w:val="nil"/>
            </w:tcBorders>
            <w:shd w:val="clear" w:color="auto" w:fill="FFFFFF"/>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nil"/>
              <w:left w:val="nil"/>
              <w:bottom w:val="nil"/>
              <w:right w:val="nil"/>
            </w:tcBorders>
            <w:shd w:val="clear" w:color="auto" w:fill="FFFFFF"/>
            <w:tcMar>
              <w:top w:w="15" w:type="dxa"/>
              <w:left w:w="15" w:type="dxa"/>
              <w:right w:w="15" w:type="dxa"/>
            </w:tcMar>
            <w:vAlign w:val="center"/>
          </w:tcPr>
          <w:p w:rsidR="00A81FCD" w:rsidRDefault="00B91A50">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金额</w:t>
            </w:r>
            <w:r>
              <w:rPr>
                <w:rFonts w:ascii="宋体" w:hAnsi="宋体" w:cs="宋体" w:hint="eastAsia"/>
                <w:color w:val="000000"/>
                <w:kern w:val="0"/>
                <w:sz w:val="20"/>
                <w:szCs w:val="20"/>
              </w:rPr>
              <w:t>单位：万元</w:t>
            </w:r>
          </w:p>
        </w:tc>
      </w:tr>
      <w:tr w:rsidR="00A81FCD">
        <w:trPr>
          <w:trHeight w:val="405"/>
        </w:trPr>
        <w:tc>
          <w:tcPr>
            <w:tcW w:w="2424" w:type="dxa"/>
            <w:gridSpan w:val="3"/>
            <w:tcBorders>
              <w:top w:val="single" w:sz="8"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w:t>
            </w: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目</w:t>
            </w:r>
          </w:p>
        </w:tc>
        <w:tc>
          <w:tcPr>
            <w:tcW w:w="1926" w:type="dxa"/>
            <w:vMerge w:val="restart"/>
            <w:tcBorders>
              <w:top w:val="single" w:sz="8" w:space="0" w:color="000000"/>
              <w:left w:val="single" w:sz="4" w:space="0" w:color="000000"/>
              <w:bottom w:val="single" w:sz="4" w:space="0" w:color="000000"/>
              <w:right w:val="nil"/>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年初结转和结余</w:t>
            </w:r>
          </w:p>
        </w:tc>
        <w:tc>
          <w:tcPr>
            <w:tcW w:w="1926" w:type="dxa"/>
            <w:vMerge w:val="restart"/>
            <w:tcBorders>
              <w:top w:val="single" w:sz="8"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w:t>
            </w:r>
          </w:p>
        </w:tc>
        <w:tc>
          <w:tcPr>
            <w:tcW w:w="5779" w:type="dxa"/>
            <w:gridSpan w:val="3"/>
            <w:tcBorders>
              <w:top w:val="single" w:sz="8" w:space="0" w:color="000000"/>
              <w:left w:val="single" w:sz="4" w:space="0" w:color="000000"/>
              <w:bottom w:val="single" w:sz="4" w:space="0" w:color="000000"/>
              <w:right w:val="nil"/>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本年支出</w:t>
            </w:r>
          </w:p>
        </w:tc>
        <w:tc>
          <w:tcPr>
            <w:tcW w:w="1933" w:type="dxa"/>
            <w:vMerge w:val="restart"/>
            <w:tcBorders>
              <w:top w:val="single" w:sz="8"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年末结转和结余</w:t>
            </w:r>
          </w:p>
        </w:tc>
      </w:tr>
      <w:tr w:rsidR="00A81FCD">
        <w:trPr>
          <w:trHeight w:val="540"/>
        </w:trPr>
        <w:tc>
          <w:tcPr>
            <w:tcW w:w="1148" w:type="dxa"/>
            <w:gridSpan w:val="2"/>
            <w:vMerge w:val="restart"/>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功能分类</w:t>
            </w:r>
          </w:p>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科目编码</w:t>
            </w:r>
          </w:p>
        </w:tc>
        <w:tc>
          <w:tcPr>
            <w:tcW w:w="127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科目名称</w:t>
            </w:r>
          </w:p>
        </w:tc>
        <w:tc>
          <w:tcPr>
            <w:tcW w:w="1926" w:type="dxa"/>
            <w:vMerge/>
            <w:tcBorders>
              <w:top w:val="single" w:sz="8"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single" w:sz="8"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小计</w:t>
            </w:r>
          </w:p>
        </w:tc>
        <w:tc>
          <w:tcPr>
            <w:tcW w:w="1927"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基本支出</w:t>
            </w:r>
          </w:p>
        </w:tc>
        <w:tc>
          <w:tcPr>
            <w:tcW w:w="1926" w:type="dxa"/>
            <w:vMerge w:val="restart"/>
            <w:tcBorders>
              <w:top w:val="nil"/>
              <w:left w:val="single" w:sz="4" w:space="0" w:color="000000"/>
              <w:bottom w:val="single" w:sz="4" w:space="0" w:color="000000"/>
              <w:right w:val="nil"/>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项目支出</w:t>
            </w:r>
          </w:p>
        </w:tc>
        <w:tc>
          <w:tcPr>
            <w:tcW w:w="1933" w:type="dxa"/>
            <w:vMerge/>
            <w:tcBorders>
              <w:top w:val="single" w:sz="8"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r>
      <w:tr w:rsidR="00A81FCD">
        <w:trPr>
          <w:trHeight w:val="360"/>
        </w:trPr>
        <w:tc>
          <w:tcPr>
            <w:tcW w:w="1148" w:type="dxa"/>
            <w:gridSpan w:val="2"/>
            <w:vMerge/>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single" w:sz="8"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single" w:sz="8"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7"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nil"/>
              <w:left w:val="single" w:sz="4" w:space="0" w:color="000000"/>
              <w:bottom w:val="single" w:sz="4" w:space="0" w:color="000000"/>
              <w:right w:val="nil"/>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33" w:type="dxa"/>
            <w:vMerge/>
            <w:tcBorders>
              <w:top w:val="single" w:sz="8"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r>
      <w:tr w:rsidR="00A81FCD">
        <w:trPr>
          <w:trHeight w:val="450"/>
        </w:trPr>
        <w:tc>
          <w:tcPr>
            <w:tcW w:w="1148" w:type="dxa"/>
            <w:gridSpan w:val="2"/>
            <w:vMerge/>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single" w:sz="8"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single" w:sz="8"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7"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vMerge/>
            <w:tcBorders>
              <w:top w:val="nil"/>
              <w:left w:val="single" w:sz="4" w:space="0" w:color="000000"/>
              <w:bottom w:val="single" w:sz="4" w:space="0" w:color="000000"/>
              <w:right w:val="nil"/>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33" w:type="dxa"/>
            <w:vMerge/>
            <w:tcBorders>
              <w:top w:val="single" w:sz="8"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r>
      <w:tr w:rsidR="00A81FCD">
        <w:trPr>
          <w:trHeight w:val="450"/>
        </w:trPr>
        <w:tc>
          <w:tcPr>
            <w:tcW w:w="2424" w:type="dxa"/>
            <w:gridSpan w:val="3"/>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r>
      <w:tr w:rsidR="00A81FCD">
        <w:trPr>
          <w:trHeight w:val="450"/>
        </w:trPr>
        <w:tc>
          <w:tcPr>
            <w:tcW w:w="2424" w:type="dxa"/>
            <w:gridSpan w:val="3"/>
            <w:tcBorders>
              <w:top w:val="nil"/>
              <w:left w:val="single" w:sz="8" w:space="0" w:color="000000"/>
              <w:bottom w:val="single" w:sz="4" w:space="0" w:color="000000"/>
              <w:right w:val="single" w:sz="4" w:space="0" w:color="000000"/>
            </w:tcBorders>
            <w:tcMar>
              <w:top w:w="15" w:type="dxa"/>
              <w:left w:w="15" w:type="dxa"/>
              <w:right w:w="15" w:type="dxa"/>
            </w:tcMar>
            <w:vAlign w:val="center"/>
          </w:tcPr>
          <w:p w:rsidR="00A81FCD" w:rsidRDefault="00B91A5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r>
      <w:tr w:rsidR="00A81FCD">
        <w:trPr>
          <w:trHeight w:val="450"/>
        </w:trPr>
        <w:tc>
          <w:tcPr>
            <w:tcW w:w="1148" w:type="dxa"/>
            <w:gridSpan w:val="2"/>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r>
      <w:tr w:rsidR="00A81FCD">
        <w:trPr>
          <w:trHeight w:val="450"/>
        </w:trPr>
        <w:tc>
          <w:tcPr>
            <w:tcW w:w="1148" w:type="dxa"/>
            <w:gridSpan w:val="2"/>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r>
      <w:tr w:rsidR="00A81FCD">
        <w:trPr>
          <w:trHeight w:val="450"/>
        </w:trPr>
        <w:tc>
          <w:tcPr>
            <w:tcW w:w="1148" w:type="dxa"/>
            <w:gridSpan w:val="2"/>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r>
      <w:tr w:rsidR="00A81FCD">
        <w:trPr>
          <w:trHeight w:val="450"/>
        </w:trPr>
        <w:tc>
          <w:tcPr>
            <w:tcW w:w="1148" w:type="dxa"/>
            <w:gridSpan w:val="2"/>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r>
      <w:tr w:rsidR="00A81FCD">
        <w:trPr>
          <w:trHeight w:val="450"/>
        </w:trPr>
        <w:tc>
          <w:tcPr>
            <w:tcW w:w="1148" w:type="dxa"/>
            <w:gridSpan w:val="2"/>
            <w:tcBorders>
              <w:top w:val="single" w:sz="4" w:space="0" w:color="000000"/>
              <w:left w:val="single" w:sz="8" w:space="0" w:color="000000"/>
              <w:bottom w:val="single" w:sz="4"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4" w:space="0" w:color="000000"/>
              <w:right w:val="nil"/>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r>
      <w:tr w:rsidR="00A81FCD">
        <w:trPr>
          <w:trHeight w:val="450"/>
        </w:trPr>
        <w:tc>
          <w:tcPr>
            <w:tcW w:w="1148" w:type="dxa"/>
            <w:gridSpan w:val="2"/>
            <w:tcBorders>
              <w:top w:val="single" w:sz="4" w:space="0" w:color="000000"/>
              <w:left w:val="single" w:sz="8" w:space="0" w:color="000000"/>
              <w:bottom w:val="single" w:sz="8" w:space="0" w:color="000000"/>
              <w:right w:val="single" w:sz="4" w:space="0" w:color="000000"/>
            </w:tcBorders>
            <w:tcMar>
              <w:top w:w="15" w:type="dxa"/>
              <w:left w:w="15" w:type="dxa"/>
              <w:right w:w="15" w:type="dxa"/>
            </w:tcMar>
            <w:vAlign w:val="center"/>
          </w:tcPr>
          <w:p w:rsidR="00A81FCD" w:rsidRDefault="00A81FCD">
            <w:pPr>
              <w:jc w:val="center"/>
              <w:rPr>
                <w:rFonts w:ascii="宋体" w:hAnsi="宋体" w:cs="宋体"/>
                <w:color w:val="000000"/>
                <w:sz w:val="20"/>
                <w:szCs w:val="20"/>
              </w:rPr>
            </w:pPr>
          </w:p>
        </w:tc>
        <w:tc>
          <w:tcPr>
            <w:tcW w:w="1276" w:type="dxa"/>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7" w:type="dxa"/>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26" w:type="dxa"/>
            <w:tcBorders>
              <w:top w:val="single" w:sz="4" w:space="0" w:color="000000"/>
              <w:left w:val="single" w:sz="4" w:space="0" w:color="000000"/>
              <w:bottom w:val="single" w:sz="8" w:space="0" w:color="000000"/>
              <w:right w:val="nil"/>
            </w:tcBorders>
            <w:tcMar>
              <w:top w:w="15" w:type="dxa"/>
              <w:left w:w="15" w:type="dxa"/>
              <w:right w:w="15" w:type="dxa"/>
            </w:tcMar>
            <w:vAlign w:val="center"/>
          </w:tcPr>
          <w:p w:rsidR="00A81FCD" w:rsidRDefault="00A81FCD">
            <w:pPr>
              <w:rPr>
                <w:rFonts w:ascii="宋体" w:hAnsi="宋体" w:cs="宋体"/>
                <w:color w:val="000000"/>
                <w:sz w:val="20"/>
                <w:szCs w:val="20"/>
              </w:rPr>
            </w:pPr>
          </w:p>
        </w:tc>
        <w:tc>
          <w:tcPr>
            <w:tcW w:w="1933"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A81FCD" w:rsidRDefault="00A81FCD">
            <w:pPr>
              <w:rPr>
                <w:rFonts w:ascii="宋体" w:hAnsi="宋体" w:cs="宋体"/>
                <w:color w:val="000000"/>
                <w:sz w:val="20"/>
                <w:szCs w:val="20"/>
              </w:rPr>
            </w:pPr>
          </w:p>
        </w:tc>
      </w:tr>
      <w:tr w:rsidR="00A81FCD">
        <w:trPr>
          <w:trHeight w:val="645"/>
        </w:trPr>
        <w:tc>
          <w:tcPr>
            <w:tcW w:w="13988" w:type="dxa"/>
            <w:gridSpan w:val="9"/>
            <w:tcBorders>
              <w:top w:val="single" w:sz="8" w:space="0" w:color="000000"/>
              <w:left w:val="nil"/>
              <w:bottom w:val="nil"/>
              <w:right w:val="nil"/>
            </w:tcBorders>
            <w:tcMar>
              <w:top w:w="15" w:type="dxa"/>
              <w:left w:w="15" w:type="dxa"/>
              <w:right w:w="15" w:type="dxa"/>
            </w:tcMar>
            <w:vAlign w:val="center"/>
          </w:tcPr>
          <w:p w:rsidR="00A81FCD" w:rsidRDefault="00B91A5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注：本表反映部门本年度政府性基金预算财政拨款收入、支出及结转和结余情况。</w:t>
            </w:r>
          </w:p>
        </w:tc>
      </w:tr>
    </w:tbl>
    <w:p w:rsidR="00A81FCD" w:rsidRDefault="00B91A50">
      <w:pPr>
        <w:jc w:val="center"/>
        <w:rPr>
          <w:rFonts w:ascii="仿宋_GB2312" w:eastAsia="仿宋_GB2312" w:hAnsi="仿宋_GB2312" w:cs="仿宋_GB2312"/>
          <w:sz w:val="32"/>
          <w:szCs w:val="32"/>
        </w:rPr>
        <w:sectPr w:rsidR="00A81FCD">
          <w:pgSz w:w="16838" w:h="11906" w:orient="landscape"/>
          <w:pgMar w:top="1800" w:right="1440" w:bottom="1800" w:left="1440" w:header="720" w:footer="720" w:gutter="0"/>
          <w:pgNumType w:fmt="numberInDash"/>
          <w:cols w:space="720"/>
          <w:docGrid w:type="lines" w:linePitch="312"/>
        </w:sectPr>
      </w:pPr>
      <w:r>
        <w:rPr>
          <w:rFonts w:ascii="仿宋_GB2312" w:eastAsia="仿宋_GB2312" w:hAnsi="仿宋_GB2312" w:cs="仿宋_GB2312" w:hint="eastAsia"/>
          <w:sz w:val="32"/>
          <w:szCs w:val="32"/>
        </w:rPr>
        <w:t>说明：我部门没有政府性基金收入，也没有使用政府性基金安排的支出，故本表无数据。</w:t>
      </w: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B91A50">
      <w:pPr>
        <w:jc w:val="center"/>
        <w:outlineLvl w:val="0"/>
        <w:rPr>
          <w:rFonts w:ascii="黑体" w:eastAsia="黑体" w:hAnsi="黑体" w:cs="黑体"/>
          <w:sz w:val="48"/>
          <w:szCs w:val="48"/>
        </w:rPr>
      </w:pPr>
      <w:r>
        <w:rPr>
          <w:rFonts w:ascii="黑体" w:eastAsia="黑体" w:hAnsi="黑体" w:cs="黑体" w:hint="eastAsia"/>
          <w:sz w:val="48"/>
          <w:szCs w:val="48"/>
        </w:rPr>
        <w:t>第三部分</w:t>
      </w:r>
      <w:r>
        <w:rPr>
          <w:rFonts w:ascii="黑体" w:eastAsia="黑体" w:hAnsi="黑体" w:cs="黑体" w:hint="eastAsia"/>
          <w:sz w:val="48"/>
          <w:szCs w:val="48"/>
        </w:rPr>
        <w:t xml:space="preserve">  2018</w:t>
      </w:r>
      <w:r>
        <w:rPr>
          <w:rFonts w:ascii="黑体" w:eastAsia="黑体" w:hAnsi="黑体" w:cs="黑体" w:hint="eastAsia"/>
          <w:sz w:val="48"/>
          <w:szCs w:val="48"/>
        </w:rPr>
        <w:t>年度部门决算情况说明</w:t>
      </w:r>
    </w:p>
    <w:p w:rsidR="00A81FCD" w:rsidRDefault="00A81FCD">
      <w:pPr>
        <w:widowControl/>
        <w:jc w:val="left"/>
        <w:rPr>
          <w:rFonts w:ascii="黑体" w:eastAsia="黑体" w:hAnsi="黑体" w:cs="黑体"/>
          <w:sz w:val="48"/>
          <w:szCs w:val="48"/>
        </w:rPr>
        <w:sectPr w:rsidR="00A81FCD">
          <w:pgSz w:w="11906" w:h="16838"/>
          <w:pgMar w:top="1440" w:right="1800" w:bottom="1440" w:left="1800" w:header="720" w:footer="720" w:gutter="0"/>
          <w:pgNumType w:fmt="numberInDash"/>
          <w:cols w:space="720"/>
          <w:docGrid w:type="lines" w:linePitch="312"/>
        </w:sectPr>
      </w:pP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lastRenderedPageBreak/>
        <w:t>一、收入支出决算总体情况说明</w:t>
      </w:r>
    </w:p>
    <w:p w:rsidR="00A81FCD" w:rsidRDefault="00B91A50">
      <w:pPr>
        <w:widowControl/>
        <w:spacing w:line="590" w:lineRule="exact"/>
        <w:ind w:firstLineChars="200" w:firstLine="640"/>
        <w:rPr>
          <w:rFonts w:ascii="黑体" w:eastAsia="黑体" w:hAnsi="黑体" w:cs="黑体"/>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年度收、支总计均为</w:t>
      </w:r>
      <w:r>
        <w:rPr>
          <w:rFonts w:ascii="仿宋_GB2312" w:eastAsia="仿宋_GB2312" w:hAnsi="仿宋_GB2312" w:cs="仿宋_GB2312"/>
          <w:sz w:val="32"/>
          <w:szCs w:val="32"/>
        </w:rPr>
        <w:t>1,988.28</w:t>
      </w:r>
      <w:r>
        <w:rPr>
          <w:rFonts w:ascii="仿宋_GB2312" w:eastAsia="仿宋_GB2312" w:hAnsi="仿宋_GB2312" w:cs="仿宋_GB2312" w:hint="eastAsia"/>
          <w:sz w:val="32"/>
          <w:szCs w:val="32"/>
        </w:rPr>
        <w:t>万元。与上年度相比，收、支总计各增加</w:t>
      </w:r>
      <w:r>
        <w:rPr>
          <w:rFonts w:ascii="仿宋_GB2312" w:eastAsia="仿宋_GB2312" w:hAnsi="仿宋_GB2312" w:cs="仿宋_GB2312"/>
          <w:sz w:val="32"/>
          <w:szCs w:val="32"/>
        </w:rPr>
        <w:t>69.3</w:t>
      </w:r>
      <w:r>
        <w:rPr>
          <w:rFonts w:ascii="仿宋_GB2312" w:eastAsia="仿宋_GB2312" w:hAnsi="仿宋_GB2312" w:cs="仿宋_GB2312" w:hint="eastAsia"/>
          <w:sz w:val="32"/>
          <w:szCs w:val="32"/>
        </w:rPr>
        <w:t>万元，增长</w:t>
      </w:r>
      <w:r>
        <w:rPr>
          <w:rFonts w:ascii="仿宋_GB2312" w:eastAsia="仿宋_GB2312" w:hAnsi="仿宋_GB2312" w:cs="仿宋_GB2312"/>
          <w:sz w:val="32"/>
          <w:szCs w:val="32"/>
        </w:rPr>
        <w:t>3.61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。主要原因是人员经费增加，工资正常调整。</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二、收入决算情况说明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年度收入合计</w:t>
      </w:r>
      <w:r>
        <w:rPr>
          <w:rFonts w:ascii="仿宋_GB2312" w:eastAsia="仿宋_GB2312" w:hAnsi="仿宋_GB2312" w:cs="仿宋_GB2312"/>
          <w:sz w:val="32"/>
          <w:szCs w:val="32"/>
        </w:rPr>
        <w:t>1,748.16</w:t>
      </w:r>
      <w:r>
        <w:rPr>
          <w:rFonts w:ascii="仿宋_GB2312" w:eastAsia="仿宋_GB2312" w:hAnsi="仿宋_GB2312" w:cs="仿宋_GB2312" w:hint="eastAsia"/>
          <w:sz w:val="32"/>
          <w:szCs w:val="32"/>
        </w:rPr>
        <w:t>万元，其中：财政拨款收入</w:t>
      </w:r>
      <w:r>
        <w:rPr>
          <w:rFonts w:ascii="仿宋_GB2312" w:eastAsia="仿宋_GB2312" w:hAnsi="仿宋_GB2312" w:cs="仿宋_GB2312"/>
          <w:sz w:val="32"/>
          <w:szCs w:val="32"/>
        </w:rPr>
        <w:t>1,748.16</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三、支出决算情况说明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年度支出合计</w:t>
      </w:r>
      <w:r>
        <w:rPr>
          <w:rFonts w:ascii="仿宋_GB2312" w:eastAsia="仿宋_GB2312" w:hAnsi="仿宋_GB2312" w:cs="仿宋_GB2312"/>
          <w:sz w:val="32"/>
          <w:szCs w:val="32"/>
        </w:rPr>
        <w:t>1,866.9</w:t>
      </w:r>
      <w:r>
        <w:rPr>
          <w:rFonts w:ascii="仿宋_GB2312" w:eastAsia="仿宋_GB2312" w:hAnsi="仿宋_GB2312" w:cs="仿宋_GB2312" w:hint="eastAsia"/>
          <w:sz w:val="32"/>
          <w:szCs w:val="32"/>
        </w:rPr>
        <w:t>万元，其中：基本支出</w:t>
      </w:r>
      <w:r>
        <w:rPr>
          <w:rFonts w:ascii="仿宋_GB2312" w:eastAsia="仿宋_GB2312" w:hAnsi="仿宋_GB2312" w:cs="仿宋_GB2312"/>
          <w:sz w:val="32"/>
          <w:szCs w:val="32"/>
        </w:rPr>
        <w:t>1,583.65</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84.83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；项目支出</w:t>
      </w:r>
      <w:r>
        <w:rPr>
          <w:rFonts w:ascii="仿宋_GB2312" w:eastAsia="仿宋_GB2312" w:hAnsi="仿宋_GB2312" w:cs="仿宋_GB2312"/>
          <w:sz w:val="32"/>
          <w:szCs w:val="32"/>
        </w:rPr>
        <w:t>283.25</w:t>
      </w:r>
      <w:r>
        <w:rPr>
          <w:rFonts w:ascii="仿宋_GB2312" w:eastAsia="仿宋_GB2312" w:hAnsi="仿宋_GB2312" w:cs="仿宋_GB2312" w:hint="eastAsia"/>
          <w:sz w:val="32"/>
          <w:szCs w:val="32"/>
        </w:rPr>
        <w:t>万元，占</w:t>
      </w:r>
      <w:r>
        <w:rPr>
          <w:rFonts w:ascii="仿宋_GB2312" w:eastAsia="仿宋_GB2312" w:hAnsi="仿宋_GB2312" w:cs="仿宋_GB2312"/>
          <w:sz w:val="32"/>
          <w:szCs w:val="32"/>
        </w:rPr>
        <w:t>15.17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四、财政拨款收入支出决算总体情况说明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年度财政拨款收、支总计均为</w:t>
      </w:r>
      <w:r>
        <w:rPr>
          <w:rFonts w:ascii="仿宋_GB2312" w:eastAsia="仿宋_GB2312" w:hAnsi="仿宋_GB2312" w:cs="仿宋_GB2312"/>
          <w:sz w:val="32"/>
          <w:szCs w:val="32"/>
        </w:rPr>
        <w:t>1,988.28</w:t>
      </w:r>
      <w:r>
        <w:rPr>
          <w:rFonts w:ascii="仿宋_GB2312" w:eastAsia="仿宋_GB2312" w:hAnsi="仿宋_GB2312" w:cs="仿宋_GB2312" w:hint="eastAsia"/>
          <w:sz w:val="32"/>
          <w:szCs w:val="32"/>
        </w:rPr>
        <w:t>万元。与上年度相比，财政拨款收、支总计各增加</w:t>
      </w:r>
      <w:r>
        <w:rPr>
          <w:rFonts w:ascii="仿宋_GB2312" w:eastAsia="仿宋_GB2312" w:hAnsi="仿宋_GB2312" w:cs="仿宋_GB2312"/>
          <w:sz w:val="32"/>
          <w:szCs w:val="32"/>
        </w:rPr>
        <w:t>69.31</w:t>
      </w:r>
      <w:r>
        <w:rPr>
          <w:rFonts w:ascii="仿宋_GB2312" w:eastAsia="仿宋_GB2312" w:hAnsi="仿宋_GB2312" w:cs="仿宋_GB2312" w:hint="eastAsia"/>
          <w:sz w:val="32"/>
          <w:szCs w:val="32"/>
        </w:rPr>
        <w:t>万元，增长</w:t>
      </w:r>
      <w:r>
        <w:rPr>
          <w:rFonts w:ascii="仿宋_GB2312" w:eastAsia="仿宋_GB2312" w:hAnsi="仿宋_GB2312" w:cs="仿宋_GB2312"/>
          <w:sz w:val="32"/>
          <w:szCs w:val="32"/>
        </w:rPr>
        <w:t>3.61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。主要原因是人员经费增加，工资正常调整。</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五、一般公共预算财政拨款支出决算情况说明</w:t>
      </w:r>
    </w:p>
    <w:p w:rsidR="00A81FCD" w:rsidRDefault="00B91A50">
      <w:pPr>
        <w:widowControl/>
        <w:spacing w:line="59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（一）总体情况。</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年度一般公共预算财政拨款支出</w:t>
      </w:r>
      <w:r>
        <w:rPr>
          <w:rFonts w:ascii="仿宋_GB2312" w:eastAsia="仿宋_GB2312" w:hAnsi="仿宋_GB2312" w:cs="仿宋_GB2312"/>
          <w:sz w:val="32"/>
          <w:szCs w:val="32"/>
        </w:rPr>
        <w:t>1,866.9</w:t>
      </w:r>
      <w:r>
        <w:rPr>
          <w:rFonts w:ascii="仿宋_GB2312" w:eastAsia="仿宋_GB2312" w:hAnsi="仿宋_GB2312" w:cs="仿宋_GB2312" w:hint="eastAsia"/>
          <w:sz w:val="32"/>
          <w:szCs w:val="32"/>
        </w:rPr>
        <w:t>万元，占本年支出合计的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。与上年度相比，一般公共预算财政拨款支出增加</w:t>
      </w:r>
      <w:r>
        <w:rPr>
          <w:rFonts w:ascii="仿宋_GB2312" w:eastAsia="仿宋_GB2312" w:hAnsi="仿宋_GB2312" w:cs="仿宋_GB2312"/>
          <w:sz w:val="32"/>
          <w:szCs w:val="32"/>
        </w:rPr>
        <w:t>169.06</w:t>
      </w:r>
      <w:r>
        <w:rPr>
          <w:rFonts w:ascii="仿宋_GB2312" w:eastAsia="仿宋_GB2312" w:hAnsi="仿宋_GB2312" w:cs="仿宋_GB2312" w:hint="eastAsia"/>
          <w:sz w:val="32"/>
          <w:szCs w:val="32"/>
        </w:rPr>
        <w:t>万元，增长</w:t>
      </w:r>
      <w:r>
        <w:rPr>
          <w:rFonts w:ascii="仿宋_GB2312" w:eastAsia="仿宋_GB2312" w:hAnsi="仿宋_GB2312" w:cs="仿宋_GB2312"/>
          <w:sz w:val="32"/>
          <w:szCs w:val="32"/>
        </w:rPr>
        <w:t>9.957506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。主要原因是年度建设“三远一网”智慧检察项目和人员正常增资。</w:t>
      </w:r>
    </w:p>
    <w:p w:rsidR="00A81FCD" w:rsidRDefault="00B91A50">
      <w:pPr>
        <w:widowControl/>
        <w:spacing w:line="59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（二）结构情况。</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年度一般公共预算财政拨款支出</w:t>
      </w:r>
      <w:r>
        <w:rPr>
          <w:rFonts w:ascii="仿宋_GB2312" w:eastAsia="仿宋_GB2312" w:hAnsi="仿宋_GB2312" w:cs="仿宋_GB2312"/>
          <w:sz w:val="32"/>
          <w:szCs w:val="32"/>
        </w:rPr>
        <w:t>1,866.9</w:t>
      </w:r>
      <w:r>
        <w:rPr>
          <w:rFonts w:ascii="仿宋_GB2312" w:eastAsia="仿宋_GB2312" w:hAnsi="仿宋_GB2312" w:cs="仿宋_GB2312" w:hint="eastAsia"/>
          <w:sz w:val="32"/>
          <w:szCs w:val="32"/>
        </w:rPr>
        <w:t>万元，主要用于以下方面：一般公共服务（类）支出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0.16%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lastRenderedPageBreak/>
        <w:t>公共安全（类）支出</w:t>
      </w:r>
      <w:r>
        <w:rPr>
          <w:rFonts w:ascii="仿宋_GB2312" w:eastAsia="仿宋_GB2312" w:hAnsi="仿宋_GB2312" w:cs="仿宋_GB2312" w:hint="eastAsia"/>
          <w:sz w:val="32"/>
          <w:szCs w:val="32"/>
        </w:rPr>
        <w:t>1744.94</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93.47%</w:t>
      </w:r>
      <w:r>
        <w:rPr>
          <w:rFonts w:ascii="仿宋_GB2312" w:eastAsia="仿宋_GB2312" w:hAnsi="仿宋_GB2312" w:cs="仿宋_GB2312" w:hint="eastAsia"/>
          <w:sz w:val="32"/>
          <w:szCs w:val="32"/>
        </w:rPr>
        <w:t>；社会保障和就业（类）支出</w:t>
      </w:r>
      <w:r>
        <w:rPr>
          <w:rFonts w:ascii="仿宋_GB2312" w:eastAsia="仿宋_GB2312" w:hAnsi="仿宋_GB2312" w:cs="仿宋_GB2312" w:hint="eastAsia"/>
          <w:sz w:val="32"/>
          <w:szCs w:val="32"/>
        </w:rPr>
        <w:t>89.53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4.79%</w:t>
      </w:r>
      <w:r>
        <w:rPr>
          <w:rFonts w:ascii="仿宋_GB2312" w:eastAsia="仿宋_GB2312" w:hAnsi="仿宋_GB2312" w:cs="仿宋_GB2312" w:hint="eastAsia"/>
          <w:sz w:val="32"/>
          <w:szCs w:val="32"/>
        </w:rPr>
        <w:t>；医疗卫生和计划生育（类）支出</w:t>
      </w:r>
      <w:r>
        <w:rPr>
          <w:rFonts w:ascii="仿宋_GB2312" w:eastAsia="仿宋_GB2312" w:hAnsi="仿宋_GB2312" w:cs="仿宋_GB2312" w:hint="eastAsia"/>
          <w:sz w:val="32"/>
          <w:szCs w:val="32"/>
        </w:rPr>
        <w:t>28.73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1.54%</w:t>
      </w:r>
      <w:r>
        <w:rPr>
          <w:rFonts w:ascii="仿宋_GB2312" w:eastAsia="仿宋_GB2312" w:hAnsi="仿宋_GB2312" w:cs="仿宋_GB2312" w:hint="eastAsia"/>
          <w:sz w:val="32"/>
          <w:szCs w:val="32"/>
        </w:rPr>
        <w:t>；农林水（类）支出</w:t>
      </w:r>
      <w:r>
        <w:rPr>
          <w:rFonts w:ascii="仿宋_GB2312" w:eastAsia="仿宋_GB2312" w:hAnsi="仿宋_GB2312" w:cs="仿宋_GB2312" w:hint="eastAsia"/>
          <w:sz w:val="32"/>
          <w:szCs w:val="32"/>
        </w:rPr>
        <w:t>0.7</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0.04%</w:t>
      </w:r>
      <w:r>
        <w:rPr>
          <w:rFonts w:ascii="仿宋_GB2312" w:eastAsia="仿宋_GB2312" w:hAnsi="仿宋_GB2312" w:cs="仿宋_GB2312" w:hint="eastAsia"/>
          <w:sz w:val="32"/>
          <w:szCs w:val="32"/>
        </w:rPr>
        <w:t>。</w:t>
      </w:r>
    </w:p>
    <w:p w:rsidR="00A81FCD" w:rsidRDefault="00B91A50">
      <w:pPr>
        <w:widowControl/>
        <w:spacing w:line="59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（三）具体情况。</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年度一般公共预算财政拨款支出年初预算为</w:t>
      </w:r>
      <w:r>
        <w:rPr>
          <w:rFonts w:ascii="仿宋_GB2312" w:eastAsia="仿宋_GB2312" w:hAnsi="仿宋_GB2312" w:cs="仿宋_GB2312"/>
          <w:sz w:val="32"/>
          <w:szCs w:val="32"/>
        </w:rPr>
        <w:t>1,532</w:t>
      </w:r>
      <w:r>
        <w:rPr>
          <w:rFonts w:ascii="仿宋_GB2312" w:eastAsia="仿宋_GB2312" w:hAnsi="仿宋_GB2312" w:cs="仿宋_GB2312" w:hint="eastAsia"/>
          <w:sz w:val="32"/>
          <w:szCs w:val="32"/>
        </w:rPr>
        <w:t>万元，支出决算为</w:t>
      </w:r>
      <w:r>
        <w:rPr>
          <w:rFonts w:ascii="仿宋_GB2312" w:eastAsia="仿宋_GB2312" w:hAnsi="仿宋_GB2312" w:cs="仿宋_GB2312"/>
          <w:sz w:val="32"/>
          <w:szCs w:val="32"/>
        </w:rPr>
        <w:t>1,866.9</w:t>
      </w:r>
      <w:r>
        <w:rPr>
          <w:rFonts w:ascii="仿宋_GB2312" w:eastAsia="仿宋_GB2312" w:hAnsi="仿宋_GB2312" w:cs="仿宋_GB2312" w:hint="eastAsia"/>
          <w:sz w:val="32"/>
          <w:szCs w:val="32"/>
        </w:rPr>
        <w:t>万元，完成年初预算的</w:t>
      </w:r>
      <w:r>
        <w:rPr>
          <w:rFonts w:ascii="仿宋_GB2312" w:eastAsia="仿宋_GB2312" w:hAnsi="仿宋_GB2312" w:cs="仿宋_GB2312"/>
          <w:sz w:val="32"/>
          <w:szCs w:val="32"/>
        </w:rPr>
        <w:t>121.86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。其中：</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一般公共服务支出（类）其他一般公共服务支出（款）其他一般公共服务支出（项）</w:t>
      </w:r>
      <w:r>
        <w:rPr>
          <w:rFonts w:ascii="仿宋_GB2312" w:eastAsia="仿宋_GB2312" w:hAnsi="仿宋_GB2312" w:cs="仿宋_GB2312" w:hint="eastAsia"/>
          <w:sz w:val="32"/>
          <w:szCs w:val="32"/>
        </w:rPr>
        <w:t>年初预算</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元，支出决算为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万元，主要原因是追加预算驻村工作队经费。</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．公共安全支出（类）检察（款）行政运行（项）。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1146</w:t>
      </w:r>
      <w:r>
        <w:rPr>
          <w:rFonts w:ascii="仿宋_GB2312" w:eastAsia="仿宋_GB2312" w:hAnsi="仿宋_GB2312" w:cs="仿宋_GB2312" w:hint="eastAsia"/>
          <w:sz w:val="32"/>
          <w:szCs w:val="32"/>
        </w:rPr>
        <w:t>万元，支出决算为</w:t>
      </w:r>
      <w:r>
        <w:rPr>
          <w:rFonts w:ascii="仿宋_GB2312" w:eastAsia="仿宋_GB2312" w:hAnsi="仿宋_GB2312" w:cs="仿宋_GB2312" w:hint="eastAsia"/>
          <w:sz w:val="32"/>
          <w:szCs w:val="32"/>
        </w:rPr>
        <w:t>1197.54</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104.49%</w:t>
      </w:r>
      <w:r>
        <w:rPr>
          <w:rFonts w:ascii="仿宋_GB2312" w:eastAsia="仿宋_GB2312" w:hAnsi="仿宋_GB2312" w:cs="仿宋_GB2312" w:hint="eastAsia"/>
          <w:sz w:val="32"/>
          <w:szCs w:val="32"/>
        </w:rPr>
        <w:t>，年初预算和决算数存在差异的主要原因是人员增资。</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公共安全支出（类）检察（款）一般行政管理事务（项）。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271</w:t>
      </w:r>
      <w:r>
        <w:rPr>
          <w:rFonts w:ascii="仿宋_GB2312" w:eastAsia="仿宋_GB2312" w:hAnsi="仿宋_GB2312" w:cs="仿宋_GB2312" w:hint="eastAsia"/>
          <w:sz w:val="32"/>
          <w:szCs w:val="32"/>
        </w:rPr>
        <w:t>万元。支出决算为</w:t>
      </w:r>
      <w:r>
        <w:rPr>
          <w:rFonts w:ascii="仿宋_GB2312" w:eastAsia="仿宋_GB2312" w:hAnsi="仿宋_GB2312" w:cs="仿宋_GB2312" w:hint="eastAsia"/>
          <w:sz w:val="32"/>
          <w:szCs w:val="32"/>
        </w:rPr>
        <w:t>227.13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83.81%</w:t>
      </w:r>
      <w:r>
        <w:rPr>
          <w:rFonts w:ascii="仿宋_GB2312" w:eastAsia="仿宋_GB2312" w:hAnsi="仿宋_GB2312" w:cs="仿宋_GB2312" w:hint="eastAsia"/>
          <w:sz w:val="32"/>
          <w:szCs w:val="32"/>
        </w:rPr>
        <w:t>，年初预算和决算数存在差异的主要原因是中央转移支付政法专款</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年安排减少。</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公共安全支出（类）检察（款）查办和预防职务犯罪（项）。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元，支出决算</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万元，年初预算和决算数存在差异的主要原因是申请县财政追加预算，做办公办案开支。</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5.</w:t>
      </w:r>
      <w:r>
        <w:rPr>
          <w:rFonts w:ascii="仿宋_GB2312" w:eastAsia="仿宋_GB2312" w:hAnsi="仿宋_GB2312" w:cs="仿宋_GB2312" w:hint="eastAsia"/>
          <w:b/>
          <w:bCs/>
          <w:sz w:val="32"/>
          <w:szCs w:val="32"/>
        </w:rPr>
        <w:t>公共安全支出（类）检察（款）其他检察支出（项）。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元，支出决算为</w:t>
      </w:r>
      <w:r>
        <w:rPr>
          <w:rFonts w:ascii="仿宋_GB2312" w:eastAsia="仿宋_GB2312" w:hAnsi="仿宋_GB2312" w:cs="仿宋_GB2312" w:hint="eastAsia"/>
          <w:sz w:val="32"/>
          <w:szCs w:val="32"/>
        </w:rPr>
        <w:t>280.28</w:t>
      </w:r>
      <w:r>
        <w:rPr>
          <w:rFonts w:ascii="仿宋_GB2312" w:eastAsia="仿宋_GB2312" w:hAnsi="仿宋_GB2312" w:cs="仿宋_GB2312" w:hint="eastAsia"/>
          <w:sz w:val="32"/>
          <w:szCs w:val="32"/>
        </w:rPr>
        <w:t>万元。年初预算和决算数存在差异的主要原因是申请县财政追加预算，建设三远一网智慧公诉项目及其他检察支出使用。</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．社会保障和就业支出（类）行政事业单位离退休（款）归口管理的行政单位离退休（项）。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元，支出决算为</w:t>
      </w:r>
      <w:r>
        <w:rPr>
          <w:rFonts w:ascii="仿宋_GB2312" w:eastAsia="仿宋_GB2312" w:hAnsi="仿宋_GB2312" w:cs="仿宋_GB2312" w:hint="eastAsia"/>
          <w:sz w:val="32"/>
          <w:szCs w:val="32"/>
        </w:rPr>
        <w:t>0.9</w:t>
      </w:r>
      <w:r>
        <w:rPr>
          <w:rFonts w:ascii="仿宋_GB2312" w:eastAsia="仿宋_GB2312" w:hAnsi="仿宋_GB2312" w:cs="仿宋_GB2312" w:hint="eastAsia"/>
          <w:sz w:val="32"/>
          <w:szCs w:val="32"/>
        </w:rPr>
        <w:t>万元，年初预算和决算数存在差异的主要原因是社保基数年度正常调高。</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7.</w:t>
      </w:r>
      <w:r>
        <w:rPr>
          <w:rFonts w:ascii="仿宋_GB2312" w:eastAsia="仿宋_GB2312" w:hAnsi="仿宋_GB2312" w:cs="仿宋_GB2312" w:hint="eastAsia"/>
          <w:b/>
          <w:bCs/>
          <w:sz w:val="32"/>
          <w:szCs w:val="32"/>
        </w:rPr>
        <w:t>社会保障和就业支出（类）行政事业单位离退休</w:t>
      </w:r>
      <w:r>
        <w:rPr>
          <w:rFonts w:ascii="仿宋_GB2312" w:eastAsia="仿宋_GB2312" w:hAnsi="仿宋_GB2312" w:cs="仿宋_GB2312" w:hint="eastAsia"/>
          <w:b/>
          <w:bCs/>
          <w:sz w:val="32"/>
          <w:szCs w:val="32"/>
        </w:rPr>
        <w:t>（款）机关事业单位基本养老保险缴费支出（项）。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82</w:t>
      </w:r>
      <w:r>
        <w:rPr>
          <w:rFonts w:ascii="仿宋_GB2312" w:eastAsia="仿宋_GB2312" w:hAnsi="仿宋_GB2312" w:cs="仿宋_GB2312" w:hint="eastAsia"/>
          <w:sz w:val="32"/>
          <w:szCs w:val="32"/>
        </w:rPr>
        <w:t>元，支出决算为</w:t>
      </w:r>
      <w:r>
        <w:rPr>
          <w:rFonts w:ascii="仿宋_GB2312" w:eastAsia="仿宋_GB2312" w:hAnsi="仿宋_GB2312" w:cs="仿宋_GB2312" w:hint="eastAsia"/>
          <w:sz w:val="32"/>
          <w:szCs w:val="32"/>
        </w:rPr>
        <w:t>86.35</w:t>
      </w:r>
      <w:r>
        <w:rPr>
          <w:rFonts w:ascii="仿宋_GB2312" w:eastAsia="仿宋_GB2312" w:hAnsi="仿宋_GB2312" w:cs="仿宋_GB2312" w:hint="eastAsia"/>
          <w:sz w:val="32"/>
          <w:szCs w:val="32"/>
        </w:rPr>
        <w:t>万元，年初预算和决算数存在差异的主要原因是社保基数年度正常调高。</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8. </w:t>
      </w:r>
      <w:r>
        <w:rPr>
          <w:rFonts w:ascii="仿宋_GB2312" w:eastAsia="仿宋_GB2312" w:hAnsi="仿宋_GB2312" w:cs="仿宋_GB2312" w:hint="eastAsia"/>
          <w:b/>
          <w:bCs/>
          <w:sz w:val="32"/>
          <w:szCs w:val="32"/>
        </w:rPr>
        <w:t>社会保障和就业支出（类）其他社会保障和就业支出（款）其他社会保障和就业支出（项）。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万元，支出决算为</w:t>
      </w:r>
      <w:r>
        <w:rPr>
          <w:rFonts w:ascii="仿宋_GB2312" w:eastAsia="仿宋_GB2312" w:hAnsi="仿宋_GB2312" w:cs="仿宋_GB2312" w:hint="eastAsia"/>
          <w:sz w:val="32"/>
          <w:szCs w:val="32"/>
        </w:rPr>
        <w:t>2.28</w:t>
      </w:r>
      <w:r>
        <w:rPr>
          <w:rFonts w:ascii="仿宋_GB2312" w:eastAsia="仿宋_GB2312" w:hAnsi="仿宋_GB2312" w:cs="仿宋_GB2312" w:hint="eastAsia"/>
          <w:sz w:val="32"/>
          <w:szCs w:val="32"/>
        </w:rPr>
        <w:t>万元，完成年初预算的</w:t>
      </w:r>
      <w:r>
        <w:rPr>
          <w:rFonts w:ascii="仿宋_GB2312" w:eastAsia="仿宋_GB2312" w:hAnsi="仿宋_GB2312" w:cs="仿宋_GB2312" w:hint="eastAsia"/>
          <w:sz w:val="32"/>
          <w:szCs w:val="32"/>
        </w:rPr>
        <w:t>57%</w:t>
      </w:r>
      <w:r>
        <w:rPr>
          <w:rFonts w:ascii="仿宋_GB2312" w:eastAsia="仿宋_GB2312" w:hAnsi="仿宋_GB2312" w:cs="仿宋_GB2312" w:hint="eastAsia"/>
          <w:sz w:val="32"/>
          <w:szCs w:val="32"/>
        </w:rPr>
        <w:t>。年初预算和决算数存在差异的主要原因是人员减少。</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9. </w:t>
      </w:r>
      <w:r>
        <w:rPr>
          <w:rFonts w:ascii="仿宋_GB2312" w:eastAsia="仿宋_GB2312" w:hAnsi="仿宋_GB2312" w:cs="仿宋_GB2312" w:hint="eastAsia"/>
          <w:b/>
          <w:bCs/>
          <w:sz w:val="32"/>
          <w:szCs w:val="32"/>
        </w:rPr>
        <w:t>医疗卫生与计划生育支出（类）行政事业单位医疗支出（款）行政单位医疗（项）。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万元，支出决算为</w:t>
      </w:r>
      <w:r>
        <w:rPr>
          <w:rFonts w:ascii="仿宋_GB2312" w:eastAsia="仿宋_GB2312" w:hAnsi="仿宋_GB2312" w:cs="仿宋_GB2312" w:hint="eastAsia"/>
          <w:sz w:val="32"/>
          <w:szCs w:val="32"/>
        </w:rPr>
        <w:t>28.73</w:t>
      </w:r>
      <w:r>
        <w:rPr>
          <w:rFonts w:ascii="仿宋_GB2312" w:eastAsia="仿宋_GB2312" w:hAnsi="仿宋_GB2312" w:cs="仿宋_GB2312" w:hint="eastAsia"/>
          <w:sz w:val="32"/>
          <w:szCs w:val="32"/>
        </w:rPr>
        <w:t>万元，完成年初预算的</w:t>
      </w:r>
      <w:r>
        <w:rPr>
          <w:rFonts w:ascii="仿宋_GB2312" w:eastAsia="仿宋_GB2312" w:hAnsi="仿宋_GB2312" w:cs="仿宋_GB2312" w:hint="eastAsia"/>
          <w:sz w:val="32"/>
          <w:szCs w:val="32"/>
        </w:rPr>
        <w:t>99.06%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与预算数</w:t>
      </w:r>
      <w:r>
        <w:rPr>
          <w:rFonts w:ascii="仿宋_GB2312" w:eastAsia="仿宋_GB2312" w:hAnsi="仿宋_GB2312" w:cs="仿宋_GB2312" w:hint="eastAsia"/>
          <w:sz w:val="32"/>
          <w:szCs w:val="32"/>
        </w:rPr>
        <w:t>基本持平。</w:t>
      </w:r>
    </w:p>
    <w:p w:rsidR="00A81FCD" w:rsidRDefault="00B91A50">
      <w:pPr>
        <w:widowControl/>
        <w:spacing w:line="59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b/>
          <w:sz w:val="32"/>
          <w:szCs w:val="32"/>
        </w:rPr>
        <w:t>0.</w:t>
      </w:r>
      <w:r>
        <w:rPr>
          <w:rFonts w:ascii="仿宋_GB2312" w:eastAsia="仿宋_GB2312" w:hAnsi="仿宋_GB2312" w:cs="仿宋_GB2312" w:hint="eastAsia"/>
          <w:b/>
          <w:sz w:val="32"/>
          <w:szCs w:val="32"/>
        </w:rPr>
        <w:t>农林水支出（类）扶贫（款）行政运行（项）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，实际支出</w:t>
      </w:r>
      <w:r>
        <w:rPr>
          <w:rFonts w:ascii="仿宋_GB2312" w:eastAsia="仿宋_GB2312" w:hAnsi="仿宋_GB2312" w:cs="仿宋_GB2312" w:hint="eastAsia"/>
          <w:sz w:val="32"/>
          <w:szCs w:val="32"/>
        </w:rPr>
        <w:t>0.7</w:t>
      </w:r>
      <w:r>
        <w:rPr>
          <w:rFonts w:ascii="仿宋_GB2312" w:eastAsia="仿宋_GB2312" w:hAnsi="仿宋_GB2312" w:cs="仿宋_GB2312" w:hint="eastAsia"/>
          <w:sz w:val="32"/>
          <w:szCs w:val="32"/>
        </w:rPr>
        <w:t>万元，为列支的上年结转驻村工作队经费。</w:t>
      </w:r>
    </w:p>
    <w:p w:rsidR="00A81FCD" w:rsidRDefault="00B91A50">
      <w:pPr>
        <w:widowControl/>
        <w:spacing w:line="590" w:lineRule="exact"/>
        <w:outlineLvl w:val="1"/>
        <w:rPr>
          <w:rFonts w:ascii="黑体" w:eastAsia="黑体" w:hAnsi="黑体" w:cs="黑体"/>
          <w:sz w:val="32"/>
          <w:szCs w:val="32"/>
        </w:rPr>
      </w:pPr>
      <w:r>
        <w:rPr>
          <w:rFonts w:ascii="黑体" w:eastAsia="黑体" w:hAnsi="黑体" w:cs="黑体" w:hint="eastAsia"/>
          <w:sz w:val="32"/>
          <w:szCs w:val="32"/>
        </w:rPr>
        <w:lastRenderedPageBreak/>
        <w:t>六、一般公共预算财政拨款基本支出决算情况说明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年度一般公共预算财政拨款基本支出</w:t>
      </w:r>
      <w:r>
        <w:rPr>
          <w:rFonts w:ascii="仿宋_GB2312" w:eastAsia="仿宋_GB2312" w:hAnsi="仿宋_GB2312" w:cs="仿宋_GB2312"/>
          <w:sz w:val="32"/>
          <w:szCs w:val="32"/>
        </w:rPr>
        <w:t>1,583.65</w:t>
      </w:r>
      <w:r>
        <w:rPr>
          <w:rFonts w:ascii="仿宋_GB2312" w:eastAsia="仿宋_GB2312" w:hAnsi="仿宋_GB2312" w:cs="仿宋_GB2312" w:hint="eastAsia"/>
          <w:sz w:val="32"/>
          <w:szCs w:val="32"/>
        </w:rPr>
        <w:t>万元。其中：人员经费</w:t>
      </w:r>
      <w:r>
        <w:rPr>
          <w:rFonts w:ascii="仿宋_GB2312" w:eastAsia="仿宋_GB2312" w:hAnsi="仿宋_GB2312" w:cs="仿宋_GB2312"/>
          <w:sz w:val="32"/>
          <w:szCs w:val="32"/>
        </w:rPr>
        <w:t>1,067.21</w:t>
      </w:r>
      <w:r>
        <w:rPr>
          <w:rFonts w:ascii="仿宋_GB2312" w:eastAsia="仿宋_GB2312" w:hAnsi="仿宋_GB2312" w:cs="仿宋_GB2312" w:hint="eastAsia"/>
          <w:sz w:val="32"/>
          <w:szCs w:val="32"/>
        </w:rPr>
        <w:t>万元，主要包括：基本工资、津贴补贴、</w:t>
      </w:r>
      <w:r>
        <w:rPr>
          <w:rFonts w:ascii="仿宋_GB2312" w:eastAsia="仿宋_GB2312" w:hAnsi="仿宋_GB2312" w:cs="仿宋_GB2312" w:hint="eastAsia"/>
          <w:sz w:val="32"/>
          <w:szCs w:val="32"/>
        </w:rPr>
        <w:t>奖金、</w:t>
      </w:r>
      <w:r>
        <w:rPr>
          <w:rFonts w:ascii="仿宋_GB2312" w:eastAsia="仿宋_GB2312" w:hAnsi="仿宋_GB2312" w:cs="仿宋_GB2312" w:hint="eastAsia"/>
          <w:sz w:val="32"/>
          <w:szCs w:val="32"/>
        </w:rPr>
        <w:t>伙食补助费、绩效工资、机关事业单位基本养老保险缴费、</w:t>
      </w:r>
      <w:r>
        <w:rPr>
          <w:rFonts w:ascii="仿宋_GB2312" w:eastAsia="仿宋_GB2312" w:hAnsi="仿宋_GB2312" w:cs="仿宋_GB2312" w:hint="eastAsia"/>
          <w:sz w:val="32"/>
          <w:szCs w:val="32"/>
        </w:rPr>
        <w:t>职工基本医疗保险缴费、其他社会保障缴费、住房公积金、医疗费、其他工资福利支出、退休费、抚恤金、</w:t>
      </w:r>
      <w:r>
        <w:rPr>
          <w:rFonts w:ascii="仿宋_GB2312" w:eastAsia="仿宋_GB2312" w:hAnsi="仿宋_GB2312" w:cs="仿宋_GB2312" w:hint="eastAsia"/>
          <w:sz w:val="32"/>
          <w:szCs w:val="32"/>
        </w:rPr>
        <w:t>其他对个人和家庭的补助支出；公用经费</w:t>
      </w:r>
      <w:r>
        <w:rPr>
          <w:rFonts w:ascii="仿宋_GB2312" w:eastAsia="仿宋_GB2312" w:hAnsi="仿宋_GB2312" w:cs="仿宋_GB2312"/>
          <w:sz w:val="32"/>
          <w:szCs w:val="32"/>
        </w:rPr>
        <w:t>516.44</w:t>
      </w:r>
      <w:r>
        <w:rPr>
          <w:rFonts w:ascii="仿宋_GB2312" w:eastAsia="仿宋_GB2312" w:hAnsi="仿宋_GB2312" w:cs="仿宋_GB2312" w:hint="eastAsia"/>
          <w:sz w:val="32"/>
          <w:szCs w:val="32"/>
        </w:rPr>
        <w:t>万元，主要包括：办公费、印刷费、手续费、水费、电费、邮电费、取暖费、物业管理费、差旅费、维修（护）费、租赁费、培训费、专用材料费、劳务费、委托业务费、工会经费、福利费、公务用车运行维护费、其他商品和服务支出、办公设备购置、专用设备购置、信息网络及软件购置更新。</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七、一般公共预算财政拨款“三公”经费支出决算情况说明</w:t>
      </w:r>
    </w:p>
    <w:p w:rsidR="00A81FCD" w:rsidRDefault="00B91A50">
      <w:pPr>
        <w:widowControl/>
        <w:spacing w:line="590" w:lineRule="exact"/>
        <w:ind w:firstLineChars="200" w:firstLine="643"/>
        <w:outlineLvl w:val="2"/>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（一）“三公”经费财政拨款支出决算总体情况说明。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年度“三公”经费财政拨款支出预算为</w:t>
      </w:r>
      <w:r>
        <w:rPr>
          <w:rFonts w:ascii="仿宋_GB2312" w:eastAsia="仿宋_GB2312" w:hAnsi="仿宋_GB2312" w:cs="仿宋_GB2312"/>
          <w:sz w:val="32"/>
          <w:szCs w:val="32"/>
        </w:rPr>
        <w:t>55</w:t>
      </w:r>
      <w:r>
        <w:rPr>
          <w:rFonts w:ascii="仿宋_GB2312" w:eastAsia="仿宋_GB2312" w:hAnsi="仿宋_GB2312" w:cs="仿宋_GB2312" w:hint="eastAsia"/>
          <w:sz w:val="32"/>
          <w:szCs w:val="32"/>
        </w:rPr>
        <w:t>万元，支出决算为</w:t>
      </w:r>
      <w:r>
        <w:rPr>
          <w:rFonts w:ascii="仿宋_GB2312" w:eastAsia="仿宋_GB2312" w:hAnsi="仿宋_GB2312" w:cs="仿宋_GB2312"/>
          <w:sz w:val="32"/>
          <w:szCs w:val="32"/>
        </w:rPr>
        <w:t>42.82</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77.8</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年度“三公”经费支出决算数与预算数存在差异的主要原因是反贪局、反渎局</w:t>
      </w:r>
      <w:r>
        <w:rPr>
          <w:rFonts w:ascii="仿宋_GB2312" w:eastAsia="仿宋_GB2312" w:hAnsi="仿宋_GB2312" w:cs="仿宋_GB2312" w:hint="eastAsia"/>
          <w:sz w:val="32"/>
          <w:szCs w:val="32"/>
        </w:rPr>
        <w:t>改革</w:t>
      </w:r>
      <w:r>
        <w:rPr>
          <w:rFonts w:ascii="仿宋_GB2312" w:eastAsia="仿宋_GB2312" w:hAnsi="仿宋_GB2312" w:cs="仿宋_GB2312" w:hint="eastAsia"/>
          <w:sz w:val="32"/>
          <w:szCs w:val="32"/>
        </w:rPr>
        <w:t>后外出办案机会减少、车辆运行维护经费减少。</w:t>
      </w:r>
    </w:p>
    <w:p w:rsidR="00A81FCD" w:rsidRDefault="00B91A50">
      <w:pPr>
        <w:widowControl/>
        <w:spacing w:line="590" w:lineRule="exact"/>
        <w:ind w:firstLineChars="200" w:firstLine="643"/>
        <w:outlineLvl w:val="2"/>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（二）“三公”经费财政拨款支出决算具体情况说明。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年度“三公”经费财政拨款支出决算中，因公出国（境）费支出决算</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万元；公务用车购置及运行费支出决算</w:t>
      </w:r>
      <w:r>
        <w:rPr>
          <w:rFonts w:ascii="仿宋_GB2312" w:eastAsia="仿宋_GB2312" w:hAnsi="仿宋_GB2312" w:cs="仿宋_GB2312"/>
          <w:sz w:val="32"/>
          <w:szCs w:val="32"/>
        </w:rPr>
        <w:t>42.82</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77.8</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，占</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。具体情况如下：</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1</w:t>
      </w:r>
      <w:r>
        <w:rPr>
          <w:rFonts w:ascii="仿宋_GB2312" w:eastAsia="仿宋_GB2312" w:hAnsi="仿宋_GB2312" w:cs="仿宋_GB2312" w:hint="eastAsia"/>
          <w:b/>
          <w:bCs/>
          <w:sz w:val="32"/>
          <w:szCs w:val="32"/>
        </w:rPr>
        <w:t>．因公出国（境）费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万元。全年因公出国（境）团组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个，累计</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人次。</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．公务用车购置及运行费</w:t>
      </w:r>
      <w:r>
        <w:rPr>
          <w:rFonts w:ascii="仿宋_GB2312" w:eastAsia="仿宋_GB2312" w:hAnsi="仿宋_GB2312" w:cs="仿宋_GB2312" w:hint="eastAsia"/>
          <w:sz w:val="32"/>
          <w:szCs w:val="32"/>
        </w:rPr>
        <w:t>年初预算为</w:t>
      </w:r>
      <w:r>
        <w:rPr>
          <w:rFonts w:ascii="仿宋_GB2312" w:eastAsia="仿宋_GB2312" w:hAnsi="仿宋_GB2312" w:cs="仿宋_GB2312"/>
          <w:sz w:val="32"/>
          <w:szCs w:val="32"/>
        </w:rPr>
        <w:t>55</w:t>
      </w:r>
      <w:r>
        <w:rPr>
          <w:rFonts w:ascii="仿宋_GB2312" w:eastAsia="仿宋_GB2312" w:hAnsi="仿宋_GB2312" w:cs="仿宋_GB2312" w:hint="eastAsia"/>
          <w:sz w:val="32"/>
          <w:szCs w:val="32"/>
        </w:rPr>
        <w:t>万元，支出决算为</w:t>
      </w:r>
      <w:r>
        <w:rPr>
          <w:rFonts w:ascii="仿宋_GB2312" w:eastAsia="仿宋_GB2312" w:hAnsi="仿宋_GB2312" w:cs="仿宋_GB2312"/>
          <w:sz w:val="32"/>
          <w:szCs w:val="32"/>
        </w:rPr>
        <w:t>42.82</w:t>
      </w:r>
      <w:r>
        <w:rPr>
          <w:rFonts w:ascii="仿宋_GB2312" w:eastAsia="仿宋_GB2312" w:hAnsi="仿宋_GB2312" w:cs="仿宋_GB2312" w:hint="eastAsia"/>
          <w:sz w:val="32"/>
          <w:szCs w:val="32"/>
        </w:rPr>
        <w:t>万元，完成年初预算的</w:t>
      </w:r>
      <w:r>
        <w:rPr>
          <w:rFonts w:ascii="仿宋_GB2312" w:eastAsia="仿宋_GB2312" w:hAnsi="仿宋_GB2312" w:cs="仿宋_GB2312"/>
          <w:sz w:val="32"/>
          <w:szCs w:val="32"/>
        </w:rPr>
        <w:t>77.8</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。决算数与年初预算数存在差异的主要原因是反贪局、反渎局</w:t>
      </w:r>
      <w:r>
        <w:rPr>
          <w:rFonts w:ascii="仿宋_GB2312" w:eastAsia="仿宋_GB2312" w:hAnsi="仿宋_GB2312" w:cs="仿宋_GB2312" w:hint="eastAsia"/>
          <w:sz w:val="32"/>
          <w:szCs w:val="32"/>
        </w:rPr>
        <w:t>改革</w:t>
      </w:r>
      <w:r>
        <w:rPr>
          <w:rFonts w:ascii="仿宋_GB2312" w:eastAsia="仿宋_GB2312" w:hAnsi="仿宋_GB2312" w:cs="仿宋_GB2312" w:hint="eastAsia"/>
          <w:sz w:val="32"/>
          <w:szCs w:val="32"/>
        </w:rPr>
        <w:t>后外出办案机会减少、车辆运行维护经费减少。其中：</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公务用车购置支出</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p>
    <w:p w:rsidR="00A81FCD" w:rsidRDefault="00B91A50">
      <w:pPr>
        <w:widowControl/>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公务用车运行支出</w:t>
      </w:r>
      <w:r>
        <w:rPr>
          <w:rFonts w:ascii="仿宋_GB2312" w:eastAsia="仿宋_GB2312" w:hAnsi="仿宋_GB2312" w:cs="仿宋_GB2312"/>
          <w:sz w:val="32"/>
          <w:szCs w:val="32"/>
        </w:rPr>
        <w:t>42.82</w:t>
      </w:r>
      <w:r>
        <w:rPr>
          <w:rFonts w:ascii="仿宋_GB2312" w:eastAsia="仿宋_GB2312" w:hAnsi="仿宋_GB2312" w:cs="仿宋_GB2312" w:hint="eastAsia"/>
          <w:sz w:val="32"/>
          <w:szCs w:val="32"/>
        </w:rPr>
        <w:t>万元。主要用于车辆维修、燃油、审车、购置保险等。</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年期末，部门开支财政拨款的公务用车保有量为</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辆。</w:t>
      </w:r>
    </w:p>
    <w:p w:rsidR="00A81FCD" w:rsidRDefault="00B91A50">
      <w:pPr>
        <w:widowControl/>
        <w:numPr>
          <w:ilvl w:val="0"/>
          <w:numId w:val="2"/>
        </w:num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公务接待费</w:t>
      </w:r>
      <w:r>
        <w:rPr>
          <w:rFonts w:ascii="仿宋_GB2312" w:eastAsia="仿宋_GB2312" w:hAnsi="仿宋_GB2312" w:cs="仿宋_GB2312" w:hint="eastAsia"/>
          <w:sz w:val="32"/>
          <w:szCs w:val="32"/>
        </w:rPr>
        <w:t>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，支出决算</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外宾接待支出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年共接待国（境）外来访团组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个、来访外宾</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人次（不包括陪同人员）。</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其他国内公务接待支出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年共接待国内来访团组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人次</w:t>
      </w:r>
      <w:r>
        <w:rPr>
          <w:rFonts w:ascii="仿宋_GB2312" w:eastAsia="仿宋_GB2312" w:hAnsi="仿宋_GB2312" w:cs="仿宋_GB2312" w:hint="eastAsia"/>
          <w:sz w:val="32"/>
          <w:szCs w:val="32"/>
        </w:rPr>
        <w:t>（不包括陪同人员）</w:t>
      </w:r>
      <w:r>
        <w:rPr>
          <w:rFonts w:ascii="仿宋_GB2312" w:eastAsia="仿宋_GB2312" w:hAnsi="仿宋_GB2312" w:cs="仿宋_GB2312" w:hint="eastAsia"/>
          <w:sz w:val="32"/>
          <w:szCs w:val="32"/>
        </w:rPr>
        <w:t>。</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八、预算绩效情况说明</w:t>
      </w:r>
    </w:p>
    <w:p w:rsidR="00A81FCD" w:rsidRDefault="00B91A50">
      <w:pPr>
        <w:widowControl/>
        <w:spacing w:line="590" w:lineRule="exact"/>
        <w:ind w:firstLineChars="200" w:firstLine="643"/>
        <w:outlineLvl w:val="2"/>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（一）绩效管理工作开展情况。</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w:t>
      </w:r>
      <w:r>
        <w:rPr>
          <w:rFonts w:ascii="仿宋_GB2312" w:eastAsia="仿宋_GB2312" w:hAnsi="仿宋_GB2312" w:cs="仿宋_GB2312" w:hint="eastAsia"/>
          <w:sz w:val="32"/>
          <w:szCs w:val="32"/>
        </w:rPr>
        <w:t>没有纳入绩效考核项目。</w:t>
      </w:r>
    </w:p>
    <w:p w:rsidR="00A81FCD" w:rsidRDefault="00B91A50">
      <w:pPr>
        <w:widowControl/>
        <w:spacing w:line="590" w:lineRule="exact"/>
        <w:ind w:firstLineChars="200" w:firstLine="643"/>
        <w:outlineLvl w:val="2"/>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（二）项目绩效自评结果。</w:t>
      </w:r>
    </w:p>
    <w:p w:rsidR="00A81FCD" w:rsidRDefault="00B91A50">
      <w:pPr>
        <w:widowControl/>
        <w:spacing w:line="590" w:lineRule="exact"/>
        <w:ind w:firstLineChars="200" w:firstLine="640"/>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A81FCD" w:rsidRDefault="00B91A50">
      <w:pPr>
        <w:widowControl/>
        <w:spacing w:line="590" w:lineRule="exact"/>
        <w:ind w:firstLineChars="200" w:firstLine="643"/>
        <w:jc w:val="left"/>
        <w:rPr>
          <w:rFonts w:ascii="仿宋_GB2312" w:eastAsia="仿宋_GB2312" w:hAnsi="仿宋_GB2312" w:cs="仿宋_GB2312"/>
          <w:sz w:val="32"/>
          <w:szCs w:val="32"/>
        </w:rPr>
      </w:pPr>
      <w:r>
        <w:rPr>
          <w:rFonts w:ascii="楷体_GB2312" w:eastAsia="楷体_GB2312" w:hAnsi="楷体_GB2312" w:cs="楷体_GB2312" w:hint="eastAsia"/>
          <w:b/>
          <w:bCs/>
          <w:sz w:val="32"/>
          <w:szCs w:val="32"/>
        </w:rPr>
        <w:t>（三）以部门为主体开展的绩效评价结果。</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A81FCD" w:rsidRDefault="00B91A50">
      <w:pPr>
        <w:widowControl/>
        <w:spacing w:line="590" w:lineRule="exact"/>
        <w:outlineLvl w:val="1"/>
        <w:rPr>
          <w:rFonts w:ascii="黑体" w:eastAsia="黑体" w:hAnsi="黑体" w:cs="黑体"/>
          <w:sz w:val="32"/>
          <w:szCs w:val="32"/>
        </w:rPr>
      </w:pPr>
      <w:r>
        <w:rPr>
          <w:rFonts w:ascii="黑体" w:eastAsia="黑体" w:hAnsi="黑体" w:cs="黑体" w:hint="eastAsia"/>
          <w:sz w:val="32"/>
          <w:szCs w:val="32"/>
        </w:rPr>
        <w:t xml:space="preserve">    </w:t>
      </w:r>
      <w:r>
        <w:rPr>
          <w:rFonts w:ascii="黑体" w:eastAsia="黑体" w:hAnsi="黑体" w:cs="黑体" w:hint="eastAsia"/>
          <w:sz w:val="32"/>
          <w:szCs w:val="32"/>
        </w:rPr>
        <w:t>九、政府性基金预算财政拨款支出决算情况说明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2018</w:t>
      </w:r>
      <w:r>
        <w:rPr>
          <w:rFonts w:ascii="仿宋_GB2312" w:eastAsia="仿宋_GB2312" w:hAnsi="仿宋_GB2312" w:cs="仿宋_GB2312" w:hint="eastAsia"/>
          <w:sz w:val="32"/>
          <w:szCs w:val="32"/>
        </w:rPr>
        <w:t>年度政府性基金预算财政拨款支出年初预算为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万元。实际支出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我单位</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年度没有政府性基金收入，也没有使用政府性基金安排的支出。</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十、机关运行经费支出情况说明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年度机关运行经费年初预算为</w:t>
      </w:r>
      <w:r>
        <w:rPr>
          <w:rFonts w:ascii="仿宋_GB2312" w:eastAsia="仿宋_GB2312" w:hAnsi="仿宋_GB2312" w:cs="仿宋_GB2312" w:hint="eastAsia"/>
          <w:sz w:val="32"/>
          <w:szCs w:val="32"/>
        </w:rPr>
        <w:t>504</w:t>
      </w:r>
      <w:r>
        <w:rPr>
          <w:rFonts w:ascii="仿宋_GB2312" w:eastAsia="仿宋_GB2312" w:hAnsi="仿宋_GB2312" w:cs="仿宋_GB2312" w:hint="eastAsia"/>
          <w:sz w:val="32"/>
          <w:szCs w:val="32"/>
        </w:rPr>
        <w:t>万元，支出决算为</w:t>
      </w:r>
      <w:r>
        <w:rPr>
          <w:rFonts w:ascii="仿宋_GB2312" w:eastAsia="仿宋_GB2312" w:hAnsi="仿宋_GB2312" w:cs="仿宋_GB2312"/>
          <w:sz w:val="32"/>
          <w:szCs w:val="32"/>
        </w:rPr>
        <w:t>516</w:t>
      </w:r>
      <w:r>
        <w:rPr>
          <w:rFonts w:ascii="宋体" w:cs="宋体"/>
          <w:kern w:val="0"/>
          <w:sz w:val="38"/>
          <w:szCs w:val="38"/>
          <w:lang w:val="zh-CN"/>
        </w:rPr>
        <w:t>.</w:t>
      </w:r>
      <w:r>
        <w:rPr>
          <w:rFonts w:ascii="仿宋_GB2312" w:eastAsia="仿宋_GB2312" w:hAnsi="仿宋_GB2312" w:cs="仿宋_GB2312"/>
          <w:sz w:val="32"/>
          <w:szCs w:val="32"/>
        </w:rPr>
        <w:t>44</w:t>
      </w:r>
      <w:r>
        <w:rPr>
          <w:rFonts w:ascii="仿宋_GB2312" w:eastAsia="仿宋_GB2312" w:hAnsi="仿宋_GB2312" w:cs="仿宋_GB2312" w:hint="eastAsia"/>
          <w:sz w:val="32"/>
          <w:szCs w:val="32"/>
        </w:rPr>
        <w:t>万元，完成年初预算的</w:t>
      </w:r>
      <w:r>
        <w:rPr>
          <w:rFonts w:ascii="仿宋_GB2312" w:eastAsia="仿宋_GB2312" w:hAnsi="仿宋_GB2312" w:cs="仿宋_GB2312" w:hint="eastAsia"/>
          <w:sz w:val="32"/>
          <w:szCs w:val="32"/>
        </w:rPr>
        <w:t>102.47%</w:t>
      </w:r>
      <w:r>
        <w:rPr>
          <w:rFonts w:ascii="仿宋_GB2312" w:eastAsia="仿宋_GB2312" w:hAnsi="仿宋_GB2312" w:cs="仿宋_GB2312" w:hint="eastAsia"/>
          <w:sz w:val="32"/>
          <w:szCs w:val="32"/>
        </w:rPr>
        <w:t>。决算数与年初预算数存在差异的主要原因是物价上涨，正常幅度差异。</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十一、政府采购支出情况说明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年度政府采购支出总额</w:t>
      </w:r>
      <w:r>
        <w:rPr>
          <w:rFonts w:ascii="仿宋_GB2312" w:eastAsia="仿宋_GB2312" w:hAnsi="仿宋_GB2312" w:cs="仿宋_GB2312" w:hint="eastAsia"/>
          <w:sz w:val="32"/>
          <w:szCs w:val="32"/>
        </w:rPr>
        <w:t>205.64</w:t>
      </w:r>
      <w:r>
        <w:rPr>
          <w:rFonts w:ascii="仿宋_GB2312" w:eastAsia="仿宋_GB2312" w:hAnsi="仿宋_GB2312" w:cs="仿宋_GB2312" w:hint="eastAsia"/>
          <w:sz w:val="32"/>
          <w:szCs w:val="32"/>
        </w:rPr>
        <w:t>万元，其中：政府采购货物支出</w:t>
      </w:r>
      <w:r>
        <w:rPr>
          <w:rFonts w:ascii="仿宋_GB2312" w:eastAsia="仿宋_GB2312" w:hAnsi="仿宋_GB2312" w:cs="仿宋_GB2312" w:hint="eastAsia"/>
          <w:sz w:val="32"/>
          <w:szCs w:val="32"/>
        </w:rPr>
        <w:t>63.25</w:t>
      </w:r>
      <w:r>
        <w:rPr>
          <w:rFonts w:ascii="仿宋_GB2312" w:eastAsia="仿宋_GB2312" w:hAnsi="仿宋_GB2312" w:cs="仿宋_GB2312" w:hint="eastAsia"/>
          <w:sz w:val="32"/>
          <w:szCs w:val="32"/>
        </w:rPr>
        <w:t>万元、政府采购工程支出</w:t>
      </w:r>
      <w:r>
        <w:rPr>
          <w:rFonts w:ascii="仿宋_GB2312" w:eastAsia="仿宋_GB2312" w:hAnsi="仿宋_GB2312" w:cs="仿宋_GB2312" w:hint="eastAsia"/>
          <w:sz w:val="32"/>
          <w:szCs w:val="32"/>
        </w:rPr>
        <w:t>15.44</w:t>
      </w:r>
      <w:r>
        <w:rPr>
          <w:rFonts w:ascii="仿宋_GB2312" w:eastAsia="仿宋_GB2312" w:hAnsi="仿宋_GB2312" w:cs="仿宋_GB2312" w:hint="eastAsia"/>
          <w:sz w:val="32"/>
          <w:szCs w:val="32"/>
        </w:rPr>
        <w:t>万元、政府采购服务支出</w:t>
      </w:r>
      <w:r>
        <w:rPr>
          <w:rFonts w:ascii="仿宋_GB2312" w:eastAsia="仿宋_GB2312" w:hAnsi="仿宋_GB2312" w:cs="仿宋_GB2312" w:hint="eastAsia"/>
          <w:sz w:val="32"/>
          <w:szCs w:val="32"/>
        </w:rPr>
        <w:t>126.95</w:t>
      </w:r>
      <w:r>
        <w:rPr>
          <w:rFonts w:ascii="仿宋_GB2312" w:eastAsia="仿宋_GB2312" w:hAnsi="仿宋_GB2312" w:cs="仿宋_GB2312" w:hint="eastAsia"/>
          <w:sz w:val="32"/>
          <w:szCs w:val="32"/>
        </w:rPr>
        <w:t>万元。授予中小企业合同金额</w:t>
      </w:r>
      <w:r>
        <w:rPr>
          <w:rFonts w:ascii="仿宋_GB2312" w:eastAsia="仿宋_GB2312" w:hAnsi="仿宋_GB2312" w:cs="仿宋_GB2312" w:hint="eastAsia"/>
          <w:sz w:val="32"/>
          <w:szCs w:val="32"/>
        </w:rPr>
        <w:t>205.64</w:t>
      </w:r>
      <w:r>
        <w:rPr>
          <w:rFonts w:ascii="仿宋_GB2312" w:eastAsia="仿宋_GB2312" w:hAnsi="仿宋_GB2312" w:cs="仿宋_GB2312" w:hint="eastAsia"/>
          <w:sz w:val="32"/>
          <w:szCs w:val="32"/>
        </w:rPr>
        <w:t>万元，占政府采购支出总额的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。其中：授予小微企业合同金额</w:t>
      </w:r>
      <w:r>
        <w:rPr>
          <w:rFonts w:ascii="仿宋_GB2312" w:eastAsia="仿宋_GB2312" w:hAnsi="仿宋_GB2312" w:cs="仿宋_GB2312" w:hint="eastAsia"/>
          <w:sz w:val="32"/>
          <w:szCs w:val="32"/>
        </w:rPr>
        <w:t>205.64</w:t>
      </w:r>
      <w:r>
        <w:rPr>
          <w:rFonts w:ascii="仿宋_GB2312" w:eastAsia="仿宋_GB2312" w:hAnsi="仿宋_GB2312" w:cs="仿宋_GB2312" w:hint="eastAsia"/>
          <w:sz w:val="32"/>
          <w:szCs w:val="32"/>
        </w:rPr>
        <w:t>万元，占政府采购支出总额的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rsidR="00A81FCD" w:rsidRDefault="00B91A50">
      <w:pPr>
        <w:widowControl/>
        <w:spacing w:line="590" w:lineRule="exact"/>
        <w:ind w:firstLineChars="200" w:firstLine="640"/>
        <w:outlineLvl w:val="1"/>
        <w:rPr>
          <w:rFonts w:ascii="黑体" w:eastAsia="黑体" w:hAnsi="黑体" w:cs="黑体"/>
          <w:sz w:val="32"/>
          <w:szCs w:val="32"/>
        </w:rPr>
      </w:pPr>
      <w:r>
        <w:rPr>
          <w:rFonts w:ascii="黑体" w:eastAsia="黑体" w:hAnsi="黑体" w:cs="黑体" w:hint="eastAsia"/>
          <w:sz w:val="32"/>
          <w:szCs w:val="32"/>
        </w:rPr>
        <w:t>十二、国有资产占用情况说明</w:t>
      </w:r>
    </w:p>
    <w:p w:rsidR="00A81FCD" w:rsidRDefault="00B91A50">
      <w:pPr>
        <w:widowControl/>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年期末，我部门共有车辆</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辆，其中：执法执勤用车</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辆、</w:t>
      </w:r>
      <w:r>
        <w:rPr>
          <w:rFonts w:ascii="仿宋_GB2312" w:eastAsia="仿宋_GB2312" w:hAnsi="仿宋_GB2312" w:cs="仿宋_GB2312" w:hint="eastAsia"/>
          <w:sz w:val="32"/>
          <w:szCs w:val="32"/>
        </w:rPr>
        <w:t>特种专业技术用车</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辆。</w:t>
      </w:r>
      <w:r>
        <w:rPr>
          <w:rFonts w:ascii="仿宋_GB2312" w:eastAsia="仿宋_GB2312" w:hAnsi="仿宋_GB2312" w:cs="仿宋_GB2312" w:hint="eastAsia"/>
          <w:sz w:val="32"/>
          <w:szCs w:val="32"/>
        </w:rPr>
        <w:t>单位价值</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万元以上通用设备</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台（套），单位价值</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万元以上专用设备</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台（套）。</w:t>
      </w:r>
    </w:p>
    <w:p w:rsidR="00A81FCD" w:rsidRDefault="00A81FCD">
      <w:pPr>
        <w:widowControl/>
        <w:jc w:val="left"/>
        <w:rPr>
          <w:rFonts w:ascii="楷体_GB2312" w:eastAsia="楷体_GB2312" w:hAnsi="楷体_GB2312" w:cs="楷体_GB2312"/>
          <w:sz w:val="32"/>
          <w:szCs w:val="32"/>
        </w:rPr>
        <w:sectPr w:rsidR="00A81FCD">
          <w:pgSz w:w="11906" w:h="16838"/>
          <w:pgMar w:top="1440" w:right="1800" w:bottom="1440" w:left="1800" w:header="720" w:footer="720" w:gutter="0"/>
          <w:pgNumType w:fmt="numberInDash"/>
          <w:cols w:space="720"/>
          <w:docGrid w:type="lines" w:linePitch="312"/>
        </w:sect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A81FCD">
      <w:pPr>
        <w:widowControl/>
        <w:jc w:val="left"/>
        <w:rPr>
          <w:rFonts w:ascii="黑体" w:eastAsia="黑体" w:hAnsi="宋体" w:cs="宋体"/>
          <w:kern w:val="0"/>
          <w:sz w:val="28"/>
          <w:szCs w:val="28"/>
        </w:rPr>
      </w:pPr>
    </w:p>
    <w:p w:rsidR="00A81FCD" w:rsidRDefault="00B91A50">
      <w:pPr>
        <w:jc w:val="center"/>
        <w:outlineLvl w:val="0"/>
        <w:rPr>
          <w:rFonts w:ascii="黑体" w:eastAsia="黑体" w:hAnsi="黑体" w:cs="黑体"/>
          <w:sz w:val="48"/>
          <w:szCs w:val="48"/>
        </w:rPr>
      </w:pPr>
      <w:r>
        <w:rPr>
          <w:rFonts w:ascii="黑体" w:eastAsia="黑体" w:hAnsi="黑体" w:cs="黑体" w:hint="eastAsia"/>
          <w:sz w:val="48"/>
          <w:szCs w:val="48"/>
        </w:rPr>
        <w:t>第四部分</w:t>
      </w:r>
      <w:r>
        <w:rPr>
          <w:rFonts w:ascii="黑体" w:eastAsia="黑体" w:hAnsi="黑体" w:cs="黑体" w:hint="eastAsia"/>
          <w:sz w:val="48"/>
          <w:szCs w:val="48"/>
        </w:rPr>
        <w:t xml:space="preserve">  </w:t>
      </w:r>
      <w:r>
        <w:rPr>
          <w:rFonts w:ascii="黑体" w:eastAsia="黑体" w:hAnsi="黑体" w:cs="黑体" w:hint="eastAsia"/>
          <w:sz w:val="48"/>
          <w:szCs w:val="48"/>
        </w:rPr>
        <w:t>名词解释</w:t>
      </w:r>
    </w:p>
    <w:p w:rsidR="00A81FCD" w:rsidRDefault="00A81FCD">
      <w:pPr>
        <w:jc w:val="center"/>
        <w:rPr>
          <w:rFonts w:ascii="黑体" w:eastAsia="黑体" w:hAnsi="黑体" w:cs="黑体"/>
          <w:sz w:val="48"/>
          <w:szCs w:val="48"/>
        </w:rPr>
      </w:pPr>
    </w:p>
    <w:p w:rsidR="00A81FCD" w:rsidRDefault="00A81FCD">
      <w:pPr>
        <w:jc w:val="center"/>
        <w:outlineLvl w:val="0"/>
        <w:rPr>
          <w:rFonts w:ascii="黑体" w:eastAsia="黑体" w:hAnsi="黑体" w:cs="黑体"/>
          <w:sz w:val="48"/>
          <w:szCs w:val="48"/>
        </w:rPr>
        <w:sectPr w:rsidR="00A81FCD">
          <w:pgSz w:w="11906" w:h="16838"/>
          <w:pgMar w:top="1440" w:right="1531" w:bottom="1440" w:left="1587" w:header="850" w:footer="992" w:gutter="0"/>
          <w:pgNumType w:fmt="numberInDash"/>
          <w:cols w:space="720"/>
          <w:docGrid w:type="lines" w:linePitch="317"/>
        </w:sectPr>
      </w:pP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一、财政拨款收入：单位从同级政府财政部门取得的财政预算资金。</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二、事业收入：事业单位开展专业业务活动及其辅助活动取得的收入。</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三、上级补助收入：事业单位从主管部门和上级单位取得的非财政补助收入。</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四、附属单位上缴收入：事业单位取得附属独立核算单位根据有关规定上缴的收入。</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五、经营收入：事业单位在专业业务活动及其辅助活动之外开展非独立核算经营活动取得的收入。</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六、其他收入：单位取得的除“财政拨款收入”、“事业收入”、“上级补助收入”、“附属单位上缴收入”、“经营收入”以外的各项收入。</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七、用事业基金弥补收支差额：事业单位在当年收入不足以安排当年支出的情况下，使用以前年度积累的事业基金（事业单位当年收支相抵后按国家规定提取、用于弥补以后年度收支差额的基金）弥补当年收支缺口的资金。</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八、基本支出：为保障机构正常运转、完成日常工作任务而发生的人员支出和公用支出。</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九、项目支出：基本</w:t>
      </w:r>
      <w:r>
        <w:rPr>
          <w:rFonts w:ascii="仿宋_GB2312" w:eastAsia="仿宋_GB2312" w:hAnsi="仿宋_GB2312" w:cs="仿宋_GB2312" w:hint="eastAsia"/>
          <w:sz w:val="32"/>
          <w:szCs w:val="32"/>
        </w:rPr>
        <w:t>支出之外为完成特定行政任务和事业发展目标所发生的支出。</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十、“三公”经费：纳入同级财政预决算管理“三公”经费，指部门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十一、机关运行经</w:t>
      </w:r>
      <w:r>
        <w:rPr>
          <w:rFonts w:ascii="仿宋_GB2312" w:eastAsia="仿宋_GB2312" w:hAnsi="仿宋_GB2312" w:cs="仿宋_GB2312" w:hint="eastAsia"/>
          <w:sz w:val="32"/>
          <w:szCs w:val="32"/>
        </w:rPr>
        <w:t>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十二、工资福利支出：单位支付给在职职工和编制外长期聘用人员的各类劳动报酬，以及为上述人员缴纳的各项社会保险费等。</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十三、商品和服务支出：单位购买商品和服务的支出。</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十四、对个人和家庭的补助支出：单位用于对个人和家庭的补助支出。</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十五、年末结转：本年度或以</w:t>
      </w:r>
      <w:r>
        <w:rPr>
          <w:rFonts w:ascii="仿宋_GB2312" w:eastAsia="仿宋_GB2312" w:hAnsi="仿宋_GB2312" w:cs="仿宋_GB2312" w:hint="eastAsia"/>
          <w:sz w:val="32"/>
          <w:szCs w:val="32"/>
        </w:rPr>
        <w:t>前年度预算安排，已执行但尚未完成或因客观条件发生变化无法按原计划实施，需延迟到以后年度按有关规定继续使用的资金。</w:t>
      </w:r>
    </w:p>
    <w:p w:rsidR="00A81FCD" w:rsidRDefault="00B91A50">
      <w:pPr>
        <w:widowControl/>
        <w:spacing w:line="59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十六、年末结余：本年度或以前年度预算安排，已执行完毕或因客观条件发生变化无法按原预算安排实施，不需要再使用或无法按原预算安排继续使用的资金</w:t>
      </w:r>
    </w:p>
    <w:sectPr w:rsidR="00A81FCD">
      <w:pgSz w:w="11906" w:h="16838"/>
      <w:pgMar w:top="1928" w:right="1474" w:bottom="1701" w:left="1588"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1A50" w:rsidRDefault="00B91A50">
      <w:r>
        <w:separator/>
      </w:r>
    </w:p>
  </w:endnote>
  <w:endnote w:type="continuationSeparator" w:id="0">
    <w:p w:rsidR="00B91A50" w:rsidRDefault="00B91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altName w:val="Malgun Gothic Semilight"/>
    <w:charset w:val="86"/>
    <w:family w:val="auto"/>
    <w:pitch w:val="default"/>
    <w:sig w:usb0="00000000"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1FCD" w:rsidRDefault="00B91A50">
    <w:pPr>
      <w:pStyle w:val="a6"/>
    </w:pPr>
    <w:r>
      <w:pict>
        <v:shapetype id="_x0000_t202" coordsize="21600,21600" o:spt="202" path="m,l,21600r21600,l21600,xe">
          <v:stroke joinstyle="miter"/>
          <v:path gradientshapeok="t" o:connecttype="rect"/>
        </v:shapetype>
        <v:shape id="文本框 2055" o:spid="_x0000_s3075" type="#_x0000_t202" style="position:absolute;margin-left:0;margin-top:0;width:2in;height:2in;z-index:251658752;mso-wrap-style:none;mso-position-horizontal:center;mso-position-horizontal-relative:margin;mso-width-relative:page;mso-height-relative:page" filled="f" stroked="f">
          <v:textbox style="mso-fit-shape-to-text:t" inset="0,0,0,0">
            <w:txbxContent>
              <w:p w:rsidR="00A81FCD" w:rsidRDefault="00B91A5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902C7A">
                  <w:rPr>
                    <w:noProof/>
                    <w:sz w:val="18"/>
                  </w:rPr>
                  <w:t>- 4 -</w:t>
                </w:r>
                <w:r>
                  <w:rPr>
                    <w:rFonts w:hint="eastAsia"/>
                    <w:sz w:val="18"/>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1FCD" w:rsidRDefault="00B91A50">
    <w:pPr>
      <w:pStyle w:val="a6"/>
    </w:pPr>
    <w:r>
      <w:pict>
        <v:shapetype id="_x0000_t202" coordsize="21600,21600" o:spt="202" path="m,l,21600r21600,l21600,xe">
          <v:stroke joinstyle="miter"/>
          <v:path gradientshapeok="t" o:connecttype="rect"/>
        </v:shapetype>
        <v:shape id="文本框 2054" o:spid="_x0000_s3073" type="#_x0000_t202" style="position:absolute;margin-left:0;margin-top:0;width:2in;height:2in;z-index:251657728;mso-wrap-style:none;mso-position-horizontal:center;mso-position-horizontal-relative:margin;mso-width-relative:page;mso-height-relative:page" filled="f" stroked="f">
          <v:textbox style="mso-fit-shape-to-text:t" inset="0,0,0,0">
            <w:txbxContent>
              <w:p w:rsidR="00A81FCD" w:rsidRDefault="00B91A5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902C7A">
                  <w:rPr>
                    <w:noProof/>
                    <w:sz w:val="18"/>
                  </w:rPr>
                  <w:t>- 5 -</w:t>
                </w:r>
                <w:r>
                  <w:rPr>
                    <w:rFonts w:hint="eastAsia"/>
                    <w:sz w:val="18"/>
                  </w:rPr>
                  <w:fldChar w:fldCharType="end"/>
                </w:r>
              </w:p>
            </w:txbxContent>
          </v:textbox>
          <w10:wrap anchorx="margin"/>
        </v:shape>
      </w:pict>
    </w:r>
    <w:r>
      <w:pict>
        <v:shape id="文本框 1027" o:spid="_x0000_s3074" type="#_x0000_t202" style="position:absolute;margin-left:0;margin-top:0;width:2in;height:2in;z-index:251656704;mso-wrap-style:none;mso-position-horizontal:center;mso-position-horizontal-relative:margin;mso-width-relative:page;mso-height-relative:page" filled="f" stroked="f">
          <v:textbox style="mso-fit-shape-to-text:t" inset="0,0,0,0">
            <w:txbxContent>
              <w:p w:rsidR="00A81FCD" w:rsidRDefault="00A81FCD"/>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1A50" w:rsidRDefault="00B91A50">
      <w:r>
        <w:separator/>
      </w:r>
    </w:p>
  </w:footnote>
  <w:footnote w:type="continuationSeparator" w:id="0">
    <w:p w:rsidR="00B91A50" w:rsidRDefault="00B91A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71BE17"/>
    <w:multiLevelType w:val="singleLevel"/>
    <w:tmpl w:val="5971BE17"/>
    <w:lvl w:ilvl="0">
      <w:start w:val="1"/>
      <w:numFmt w:val="chineseCounting"/>
      <w:suff w:val="nothing"/>
      <w:lvlText w:val="%1、"/>
      <w:lvlJc w:val="left"/>
    </w:lvl>
  </w:abstractNum>
  <w:abstractNum w:abstractNumId="1" w15:restartNumberingAfterBreak="0">
    <w:nsid w:val="72E96973"/>
    <w:multiLevelType w:val="singleLevel"/>
    <w:tmpl w:val="72E96973"/>
    <w:lvl w:ilvl="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noPunctuationKerning/>
  <w:characterSpacingControl w:val="compressPunctuation"/>
  <w:doNotValidateAgainstSchema/>
  <w:doNotDemarcateInvalidXml/>
  <w:hdrShapeDefaults>
    <o:shapedefaults v:ext="edit" spidmax="3076"/>
    <o:shapelayout v:ext="edit">
      <o:idmap v:ext="edit" data="2,3"/>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172A27"/>
    <w:rsid w:val="000C0777"/>
    <w:rsid w:val="00172A27"/>
    <w:rsid w:val="00193A1D"/>
    <w:rsid w:val="00230D8A"/>
    <w:rsid w:val="00341F38"/>
    <w:rsid w:val="003D022A"/>
    <w:rsid w:val="00406BC2"/>
    <w:rsid w:val="004849B4"/>
    <w:rsid w:val="004A75FE"/>
    <w:rsid w:val="00506A6C"/>
    <w:rsid w:val="00527B46"/>
    <w:rsid w:val="0057092B"/>
    <w:rsid w:val="00606749"/>
    <w:rsid w:val="00646818"/>
    <w:rsid w:val="0067341E"/>
    <w:rsid w:val="0067776A"/>
    <w:rsid w:val="00706AA1"/>
    <w:rsid w:val="00760B41"/>
    <w:rsid w:val="00777E96"/>
    <w:rsid w:val="00784FBB"/>
    <w:rsid w:val="007F763F"/>
    <w:rsid w:val="00812C38"/>
    <w:rsid w:val="008C795E"/>
    <w:rsid w:val="008D1AF2"/>
    <w:rsid w:val="008D3816"/>
    <w:rsid w:val="00902C7A"/>
    <w:rsid w:val="009310B5"/>
    <w:rsid w:val="00981104"/>
    <w:rsid w:val="009D7B73"/>
    <w:rsid w:val="00A81FCD"/>
    <w:rsid w:val="00AA4CE5"/>
    <w:rsid w:val="00AB567D"/>
    <w:rsid w:val="00B503AE"/>
    <w:rsid w:val="00B91A50"/>
    <w:rsid w:val="00BC42BA"/>
    <w:rsid w:val="00C178C2"/>
    <w:rsid w:val="00C63260"/>
    <w:rsid w:val="00C668AB"/>
    <w:rsid w:val="00C81A4E"/>
    <w:rsid w:val="00C9151A"/>
    <w:rsid w:val="00C94E6A"/>
    <w:rsid w:val="00CE31CF"/>
    <w:rsid w:val="00DC5316"/>
    <w:rsid w:val="00EC7802"/>
    <w:rsid w:val="00EE7CDA"/>
    <w:rsid w:val="00F7274D"/>
    <w:rsid w:val="00F76AF5"/>
    <w:rsid w:val="00FA5FCD"/>
    <w:rsid w:val="00FB0144"/>
    <w:rsid w:val="00FC75C1"/>
    <w:rsid w:val="033F01ED"/>
    <w:rsid w:val="057C701F"/>
    <w:rsid w:val="076E00B6"/>
    <w:rsid w:val="16D400A7"/>
    <w:rsid w:val="24A54D83"/>
    <w:rsid w:val="298658E2"/>
    <w:rsid w:val="2B447FD0"/>
    <w:rsid w:val="3B227FF3"/>
    <w:rsid w:val="40246A9B"/>
    <w:rsid w:val="412C025C"/>
    <w:rsid w:val="4BBE255F"/>
    <w:rsid w:val="4E637AE0"/>
    <w:rsid w:val="5753512F"/>
    <w:rsid w:val="5D2F2AA3"/>
    <w:rsid w:val="5ECC7772"/>
    <w:rsid w:val="69C67C88"/>
    <w:rsid w:val="6B4E4F33"/>
    <w:rsid w:val="6BC56935"/>
    <w:rsid w:val="7789671A"/>
    <w:rsid w:val="79D836A2"/>
    <w:rsid w:val="7A0F35B0"/>
    <w:rsid w:val="7AA8600A"/>
    <w:rsid w:val="7F1D51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6"/>
    <o:shapelayout v:ext="edit">
      <o:idmap v:ext="edit" data="1"/>
    </o:shapelayout>
  </w:shapeDefaults>
  <w:decimalSymbol w:val="."/>
  <w:listSeparator w:val=","/>
  <w14:docId w14:val="7EE24189"/>
  <w15:docId w15:val="{064303CF-53C0-442A-AAB6-234DC23E5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pPr>
      <w:jc w:val="left"/>
    </w:pPr>
  </w:style>
  <w:style w:type="paragraph" w:styleId="a4">
    <w:name w:val="Balloon Text"/>
    <w:basedOn w:val="a"/>
    <w:link w:val="a5"/>
    <w:uiPriority w:val="99"/>
    <w:unhideWhenUsed/>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uiPriority w:val="99"/>
    <w:unhideWhenUsed/>
    <w:qFormat/>
    <w:pPr>
      <w:snapToGrid w:val="0"/>
      <w:jc w:val="left"/>
    </w:pPr>
    <w:rPr>
      <w:sz w:val="18"/>
    </w:rPr>
  </w:style>
  <w:style w:type="character" w:styleId="ab">
    <w:name w:val="FollowedHyperlink"/>
    <w:uiPriority w:val="99"/>
    <w:unhideWhenUsed/>
    <w:qFormat/>
    <w:rPr>
      <w:color w:val="800080"/>
      <w:u w:val="single"/>
    </w:rPr>
  </w:style>
  <w:style w:type="character" w:styleId="ac">
    <w:name w:val="Hyperlink"/>
    <w:uiPriority w:val="99"/>
    <w:unhideWhenUsed/>
    <w:qFormat/>
    <w:rPr>
      <w:color w:val="0000FF"/>
      <w:u w:val="single"/>
    </w:rPr>
  </w:style>
  <w:style w:type="character" w:styleId="ad">
    <w:name w:val="footnote reference"/>
    <w:basedOn w:val="a0"/>
    <w:uiPriority w:val="99"/>
    <w:unhideWhenUsed/>
    <w:qFormat/>
    <w:rPr>
      <w:vertAlign w:val="superscript"/>
    </w:rPr>
  </w:style>
  <w:style w:type="character" w:customStyle="1" w:styleId="font41">
    <w:name w:val="font41"/>
    <w:basedOn w:val="a0"/>
    <w:qFormat/>
    <w:rPr>
      <w:rFonts w:ascii="宋体" w:eastAsia="宋体" w:hAnsi="宋体" w:cs="宋体" w:hint="eastAsia"/>
      <w:color w:val="000000"/>
      <w:sz w:val="24"/>
      <w:szCs w:val="24"/>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a5">
    <w:name w:val="批注框文本 字符"/>
    <w:basedOn w:val="a0"/>
    <w:link w:val="a4"/>
    <w:uiPriority w:val="99"/>
    <w:qFormat/>
    <w:rPr>
      <w:kern w:val="2"/>
      <w:sz w:val="18"/>
      <w:szCs w:val="18"/>
    </w:rPr>
  </w:style>
  <w:style w:type="character" w:customStyle="1" w:styleId="a9">
    <w:name w:val="页眉 字符"/>
    <w:link w:val="a8"/>
    <w:uiPriority w:val="99"/>
    <w:qFormat/>
    <w:rPr>
      <w:kern w:val="2"/>
      <w:sz w:val="18"/>
      <w:szCs w:val="18"/>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51">
    <w:name w:val="font51"/>
    <w:basedOn w:val="a0"/>
    <w:qFormat/>
    <w:rPr>
      <w:rFonts w:ascii="宋体" w:eastAsia="宋体" w:hAnsi="宋体" w:cs="宋体" w:hint="eastAsia"/>
      <w:color w:val="000000"/>
      <w:sz w:val="24"/>
      <w:szCs w:val="24"/>
      <w:u w:val="none"/>
    </w:rPr>
  </w:style>
  <w:style w:type="character" w:customStyle="1" w:styleId="font21">
    <w:name w:val="font21"/>
    <w:basedOn w:val="a0"/>
    <w:qFormat/>
    <w:rPr>
      <w:rFonts w:ascii="宋体" w:eastAsia="宋体" w:hAnsi="宋体" w:cs="宋体" w:hint="eastAsia"/>
      <w:color w:val="000000"/>
      <w:sz w:val="22"/>
      <w:szCs w:val="22"/>
      <w:u w:val="none"/>
    </w:rPr>
  </w:style>
  <w:style w:type="character" w:customStyle="1" w:styleId="a7">
    <w:name w:val="页脚 字符"/>
    <w:link w:val="a6"/>
    <w:uiPriority w:val="99"/>
    <w:qFormat/>
    <w:rPr>
      <w:kern w:val="2"/>
      <w:sz w:val="18"/>
      <w:szCs w:val="18"/>
    </w:rPr>
  </w:style>
  <w:style w:type="paragraph" w:customStyle="1" w:styleId="10">
    <w:name w:val="标题1"/>
    <w:basedOn w:val="1"/>
    <w:qFormat/>
    <w:pPr>
      <w:spacing w:before="0" w:after="0" w:line="240" w:lineRule="auto"/>
      <w:jc w:val="center"/>
    </w:pPr>
    <w:rPr>
      <w:rFonts w:ascii="华文中宋" w:eastAsia="华文中宋" w:hAnsi="华文中宋"/>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4098"/>
    <customShpInfo spid="_x0000_s409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F2352D-8D67-456A-A36A-1D4A6C1CD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32</Pages>
  <Words>1979</Words>
  <Characters>11283</Characters>
  <Application>Microsoft Office Word</Application>
  <DocSecurity>0</DocSecurity>
  <Lines>94</Lines>
  <Paragraphs>26</Paragraphs>
  <ScaleCrop>false</ScaleCrop>
  <Company>MS User</Company>
  <LinksUpToDate>false</LinksUpToDate>
  <CharactersWithSpaces>13236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2018年度</dc:title>
  <dc:creator>管理者</dc:creator>
  <cp:lastModifiedBy>Administrator</cp:lastModifiedBy>
  <cp:revision>16</cp:revision>
  <cp:lastPrinted>2019-10-26T02:25:00Z</cp:lastPrinted>
  <dcterms:created xsi:type="dcterms:W3CDTF">2019-10-15T06:52:00Z</dcterms:created>
  <dcterms:modified xsi:type="dcterms:W3CDTF">2021-06-11T07:52:00Z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7E0BAD01E56F4E448CB34CD02BA76363</vt:lpwstr>
  </property>
</Properties>
</file>